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5F5E" w:rsidRPr="00435B92" w14:paraId="60B94413" w14:textId="77777777" w:rsidTr="00192992">
        <w:tc>
          <w:tcPr>
            <w:tcW w:w="9350" w:type="dxa"/>
            <w:tcBorders>
              <w:top w:val="single" w:sz="4" w:space="0" w:color="auto"/>
              <w:left w:val="single" w:sz="4" w:space="0" w:color="auto"/>
              <w:bottom w:val="single" w:sz="4" w:space="0" w:color="auto"/>
              <w:right w:val="single" w:sz="4" w:space="0" w:color="auto"/>
            </w:tcBorders>
          </w:tcPr>
          <w:p w14:paraId="49C791F7" w14:textId="77777777" w:rsidR="001A5F5E" w:rsidRPr="003B61F5" w:rsidRDefault="001A5F5E" w:rsidP="00192992">
            <w:pPr>
              <w:spacing w:after="0"/>
              <w:rPr>
                <w:rFonts w:eastAsia="Times New Roman"/>
                <w:b/>
                <w:szCs w:val="24"/>
              </w:rPr>
            </w:pPr>
            <w:bookmarkStart w:id="0" w:name="_Toc301773537"/>
            <w:bookmarkStart w:id="1" w:name="_Toc301773708"/>
            <w:bookmarkStart w:id="2" w:name="_Toc301773938"/>
            <w:bookmarkStart w:id="3" w:name="_Toc301774070"/>
            <w:bookmarkStart w:id="4" w:name="_Hlk523831391"/>
            <w:r w:rsidRPr="003B61F5">
              <w:rPr>
                <w:rFonts w:eastAsia="Times New Roman"/>
                <w:b/>
                <w:szCs w:val="24"/>
              </w:rPr>
              <w:t>INSTRUCTIONS</w:t>
            </w:r>
          </w:p>
          <w:p w14:paraId="08378793" w14:textId="77777777" w:rsidR="001A5F5E" w:rsidRPr="003B61F5" w:rsidRDefault="001A5F5E" w:rsidP="00192992">
            <w:pPr>
              <w:spacing w:after="0"/>
              <w:rPr>
                <w:rFonts w:eastAsia="Times New Roman"/>
                <w:szCs w:val="24"/>
              </w:rPr>
            </w:pPr>
          </w:p>
          <w:p w14:paraId="5558D9E2" w14:textId="77777777" w:rsidR="001A5F5E" w:rsidRPr="003B61F5" w:rsidRDefault="001A5F5E" w:rsidP="0019299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4CAB97E1" w14:textId="77777777" w:rsidR="001A5F5E" w:rsidRPr="003B61F5" w:rsidRDefault="001A5F5E" w:rsidP="001A5F5E">
            <w:pPr>
              <w:numPr>
                <w:ilvl w:val="0"/>
                <w:numId w:val="60"/>
              </w:numPr>
              <w:spacing w:after="0"/>
              <w:ind w:left="1080"/>
              <w:contextualSpacing/>
              <w:rPr>
                <w:rFonts w:eastAsia="Times New Roman"/>
                <w:szCs w:val="24"/>
              </w:rPr>
            </w:pPr>
            <w:r w:rsidRPr="003B61F5">
              <w:rPr>
                <w:rFonts w:eastAsia="Times New Roman"/>
                <w:szCs w:val="24"/>
              </w:rPr>
              <w:t>Express regional support as written</w:t>
            </w:r>
          </w:p>
          <w:p w14:paraId="6DEE7857" w14:textId="77777777" w:rsidR="001A5F5E" w:rsidRPr="003B61F5" w:rsidRDefault="001A5F5E" w:rsidP="001A5F5E">
            <w:pPr>
              <w:numPr>
                <w:ilvl w:val="0"/>
                <w:numId w:val="60"/>
              </w:numPr>
              <w:spacing w:after="0"/>
              <w:ind w:left="1080"/>
              <w:contextualSpacing/>
              <w:rPr>
                <w:rFonts w:eastAsia="Times New Roman"/>
                <w:szCs w:val="24"/>
              </w:rPr>
            </w:pPr>
            <w:r w:rsidRPr="003B61F5">
              <w:rPr>
                <w:rFonts w:eastAsia="Times New Roman"/>
                <w:szCs w:val="24"/>
              </w:rPr>
              <w:t>Express regional support with recommended modifications</w:t>
            </w:r>
          </w:p>
          <w:p w14:paraId="708B8721" w14:textId="77777777" w:rsidR="001A5F5E" w:rsidRPr="003B61F5" w:rsidRDefault="001A5F5E" w:rsidP="001A5F5E">
            <w:pPr>
              <w:numPr>
                <w:ilvl w:val="0"/>
                <w:numId w:val="60"/>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3CC01FD" w14:textId="77777777" w:rsidR="001A5F5E" w:rsidRPr="003B61F5" w:rsidRDefault="001A5F5E" w:rsidP="001A5F5E">
            <w:pPr>
              <w:numPr>
                <w:ilvl w:val="0"/>
                <w:numId w:val="60"/>
              </w:numPr>
              <w:spacing w:after="0"/>
              <w:ind w:left="1080"/>
              <w:contextualSpacing/>
              <w:rPr>
                <w:rFonts w:eastAsia="Times New Roman"/>
                <w:szCs w:val="24"/>
              </w:rPr>
            </w:pPr>
            <w:r w:rsidRPr="003B61F5">
              <w:rPr>
                <w:rFonts w:eastAsia="Times New Roman"/>
                <w:szCs w:val="24"/>
              </w:rPr>
              <w:t>Take no regional position on the item.</w:t>
            </w:r>
          </w:p>
          <w:p w14:paraId="34750A46" w14:textId="77777777" w:rsidR="001A5F5E" w:rsidRPr="003B61F5" w:rsidRDefault="001A5F5E" w:rsidP="00192992">
            <w:pPr>
              <w:spacing w:after="0"/>
              <w:rPr>
                <w:rFonts w:eastAsia="Times New Roman"/>
                <w:szCs w:val="24"/>
              </w:rPr>
            </w:pPr>
          </w:p>
          <w:p w14:paraId="0917DE39" w14:textId="77777777" w:rsidR="001A5F5E" w:rsidRPr="003B61F5" w:rsidRDefault="001A5F5E" w:rsidP="0019299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73B4EC6C" w14:textId="77777777" w:rsidR="001A5F5E" w:rsidRPr="003B61F5" w:rsidRDefault="001A5F5E" w:rsidP="001A5F5E">
            <w:pPr>
              <w:numPr>
                <w:ilvl w:val="0"/>
                <w:numId w:val="61"/>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7EDEE284" w14:textId="77777777" w:rsidR="001A5F5E" w:rsidRPr="003B61F5" w:rsidRDefault="001A5F5E" w:rsidP="001A5F5E">
            <w:pPr>
              <w:numPr>
                <w:ilvl w:val="0"/>
                <w:numId w:val="61"/>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47A4E8C0" w14:textId="77777777" w:rsidR="001A5F5E" w:rsidRPr="003B61F5" w:rsidRDefault="001A5F5E" w:rsidP="001A5F5E">
            <w:pPr>
              <w:numPr>
                <w:ilvl w:val="0"/>
                <w:numId w:val="61"/>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1C81DEE6" w14:textId="77777777" w:rsidR="001A5F5E" w:rsidRPr="003B61F5" w:rsidRDefault="001A5F5E" w:rsidP="00192992">
            <w:pPr>
              <w:spacing w:after="0"/>
              <w:rPr>
                <w:rFonts w:eastAsia="Times New Roman"/>
                <w:szCs w:val="24"/>
              </w:rPr>
            </w:pPr>
          </w:p>
          <w:p w14:paraId="3D50EC88" w14:textId="77777777" w:rsidR="001A5F5E" w:rsidRPr="003B61F5" w:rsidRDefault="001A5F5E" w:rsidP="00192992">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48EE21D" w14:textId="77777777" w:rsidR="001A5F5E" w:rsidRPr="003B61F5" w:rsidRDefault="001A5F5E" w:rsidP="001A5F5E">
            <w:pPr>
              <w:numPr>
                <w:ilvl w:val="0"/>
                <w:numId w:val="62"/>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58856207" w14:textId="77777777" w:rsidR="001A5F5E" w:rsidRPr="003B61F5" w:rsidRDefault="001A5F5E" w:rsidP="001A5F5E">
            <w:pPr>
              <w:numPr>
                <w:ilvl w:val="0"/>
                <w:numId w:val="62"/>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00E8B2D" w14:textId="77777777" w:rsidR="001A5F5E" w:rsidRPr="003B61F5" w:rsidRDefault="001A5F5E" w:rsidP="001A5F5E">
            <w:pPr>
              <w:numPr>
                <w:ilvl w:val="0"/>
                <w:numId w:val="62"/>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18FDEEA7" w14:textId="77777777" w:rsidR="001A5F5E" w:rsidRPr="00190FB8" w:rsidRDefault="001A5F5E" w:rsidP="00192992">
            <w:pPr>
              <w:pStyle w:val="ListParagraph"/>
              <w:spacing w:after="0"/>
              <w:rPr>
                <w:rFonts w:eastAsia="Times New Roman"/>
                <w:szCs w:val="24"/>
              </w:rPr>
            </w:pPr>
          </w:p>
        </w:tc>
      </w:tr>
    </w:tbl>
    <w:p w14:paraId="49CD1EFB" w14:textId="77777777" w:rsidR="005F0C1B" w:rsidRDefault="005F0C1B">
      <w:pPr>
        <w:spacing w:after="0"/>
        <w:jc w:val="left"/>
        <w:rPr>
          <w:b/>
          <w:sz w:val="28"/>
          <w:szCs w:val="22"/>
        </w:rPr>
      </w:pPr>
      <w:r>
        <w:br w:type="page"/>
      </w:r>
    </w:p>
    <w:p w14:paraId="64ED3E85" w14:textId="111E130A" w:rsidR="008123AF" w:rsidRPr="004303DA" w:rsidRDefault="00463752" w:rsidP="00B10192">
      <w:pPr>
        <w:pStyle w:val="HeadingSection"/>
        <w:keepNext/>
        <w:keepLines/>
        <w:suppressLineNumbers/>
        <w:spacing w:after="0"/>
      </w:pPr>
      <w:r>
        <w:lastRenderedPageBreak/>
        <w:t xml:space="preserve"> </w:t>
      </w:r>
      <w:r w:rsidR="00983F38">
        <w:t>NEWMA</w:t>
      </w:r>
      <w:r>
        <w:t xml:space="preserve"> </w:t>
      </w:r>
      <w:r w:rsidR="008123AF" w:rsidRPr="004303DA">
        <w:t>Specifications and Tolerances (S&amp;T) Committee</w:t>
      </w:r>
    </w:p>
    <w:p w14:paraId="6FFB03D4" w14:textId="09BFB669" w:rsidR="00C95A43" w:rsidRPr="004303DA" w:rsidRDefault="008123AF" w:rsidP="00B10192">
      <w:pPr>
        <w:pStyle w:val="HeadingSection"/>
        <w:keepNext/>
        <w:keepLines/>
        <w:suppressLineNumbers/>
        <w:spacing w:after="0"/>
      </w:pPr>
      <w:r w:rsidRPr="004303DA">
        <w:t>202</w:t>
      </w:r>
      <w:r w:rsidR="00983F38">
        <w:t>3</w:t>
      </w:r>
      <w:r w:rsidRPr="004303DA">
        <w:t xml:space="preserve"> Interim Meeting </w:t>
      </w:r>
      <w:r w:rsidR="005D1D7F">
        <w:t xml:space="preserve">Report Template </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10EA45A6" w14:textId="1899A83D" w:rsidR="00EE3B83" w:rsidRPr="00AC046A" w:rsidRDefault="002C47ED" w:rsidP="00E66699">
      <w:pPr>
        <w:suppressLineNumbers/>
        <w:spacing w:after="0"/>
        <w:jc w:val="center"/>
      </w:pPr>
      <w:r>
        <w:t xml:space="preserve">Mr. </w:t>
      </w:r>
      <w:r w:rsidR="001950D6">
        <w:t>J</w:t>
      </w:r>
      <w:r w:rsidR="00DE0F3A">
        <w:t>im Willis</w:t>
      </w:r>
      <w:r w:rsidR="00EE3B83" w:rsidRPr="00AC046A">
        <w:t>, Committee Chair</w:t>
      </w:r>
    </w:p>
    <w:p w14:paraId="067E9B7E" w14:textId="52285F7F" w:rsidR="00EE3B83" w:rsidRPr="00AC046A" w:rsidRDefault="00F22453" w:rsidP="00E66699">
      <w:pPr>
        <w:suppressLineNumbers/>
        <w:spacing w:after="0"/>
        <w:jc w:val="center"/>
      </w:pPr>
      <w:r>
        <w:t xml:space="preserve">State </w:t>
      </w:r>
      <w:r w:rsidR="002173B7">
        <w:t>of New York</w:t>
      </w:r>
    </w:p>
    <w:bookmarkEnd w:id="4"/>
    <w:p w14:paraId="6A23E482" w14:textId="77777777" w:rsidR="0060294C" w:rsidRPr="004303DA" w:rsidRDefault="0060294C" w:rsidP="0060294C">
      <w:pPr>
        <w:suppressLineNumbers/>
        <w:spacing w:after="0"/>
        <w:rPr>
          <w:rFonts w:eastAsia="Times New Roman"/>
          <w:szCs w:val="24"/>
        </w:rPr>
      </w:pPr>
    </w:p>
    <w:p w14:paraId="5896C65B" w14:textId="77777777" w:rsidR="00A24A4D" w:rsidRDefault="00A24A4D" w:rsidP="00A24A4D">
      <w:pPr>
        <w:suppressLineNumbers/>
        <w:rPr>
          <w:b/>
          <w:sz w:val="24"/>
          <w:szCs w:val="24"/>
        </w:rPr>
      </w:pPr>
      <w:r w:rsidRPr="74F2D65F">
        <w:rPr>
          <w:b/>
          <w:bCs/>
          <w:sz w:val="24"/>
          <w:szCs w:val="24"/>
        </w:rPr>
        <w:t>INTRODUCTIO</w:t>
      </w:r>
      <w:r>
        <w:rPr>
          <w:b/>
          <w:bCs/>
          <w:sz w:val="24"/>
          <w:szCs w:val="24"/>
        </w:rPr>
        <w:t>N</w:t>
      </w:r>
    </w:p>
    <w:p w14:paraId="2B447BE8" w14:textId="77777777" w:rsidR="00A24A4D" w:rsidRPr="00686D44" w:rsidRDefault="00A24A4D" w:rsidP="00A24A4D">
      <w:pPr>
        <w:spacing w:after="0"/>
        <w:rPr>
          <w:rFonts w:eastAsia="Times New Roman"/>
        </w:rPr>
      </w:pPr>
      <w:r w:rsidRPr="00686D44">
        <w:rPr>
          <w:rFonts w:eastAsia="Times New Roman"/>
        </w:rPr>
        <w:t xml:space="preserve">The Laws and Regulations (L&amp;R) Committee (hereinafter referred to as “Committee”) submits its Report to the </w:t>
      </w:r>
      <w:r>
        <w:rPr>
          <w:rFonts w:eastAsia="Times New Roman"/>
        </w:rPr>
        <w:t>Northeastern</w:t>
      </w:r>
      <w:r w:rsidRPr="00686D44">
        <w:rPr>
          <w:rFonts w:eastAsia="Times New Roman"/>
        </w:rPr>
        <w:t xml:space="preserve"> Weights and Measures Association (</w:t>
      </w:r>
      <w:r>
        <w:rPr>
          <w:rFonts w:eastAsia="Times New Roman"/>
        </w:rPr>
        <w:t>NE</w:t>
      </w:r>
      <w:r w:rsidRPr="00686D44">
        <w:rPr>
          <w:rFonts w:eastAsia="Times New Roman"/>
        </w:rPr>
        <w:t xml:space="preserve">WMA).  The Report consists of the </w:t>
      </w:r>
      <w:r>
        <w:rPr>
          <w:rFonts w:eastAsia="Times New Roman"/>
        </w:rPr>
        <w:t>NE</w:t>
      </w:r>
      <w:r w:rsidRPr="00686D44">
        <w:rPr>
          <w:rFonts w:eastAsia="Times New Roman"/>
        </w:rPr>
        <w:t xml:space="preserve">WMA Agenda (NCWM Carryover and NEW items) and this Addendum.  Page numbers in the tables below refer to pages in this Addendum.  Suggested revisions to the handbook are shown in </w:t>
      </w:r>
      <w:r w:rsidRPr="00686D44">
        <w:rPr>
          <w:rFonts w:eastAsia="Times New Roman"/>
          <w:b/>
        </w:rPr>
        <w:t>bold face print</w:t>
      </w:r>
      <w:r w:rsidRPr="00686D44">
        <w:rPr>
          <w:rFonts w:eastAsia="Times New Roman"/>
        </w:rPr>
        <w:t xml:space="preserve"> by </w:t>
      </w:r>
      <w:r w:rsidRPr="00686D44">
        <w:rPr>
          <w:rFonts w:eastAsia="Times New Roman"/>
          <w:b/>
          <w:bCs/>
          <w:strike/>
        </w:rPr>
        <w:t>striking out</w:t>
      </w:r>
      <w:r w:rsidRPr="00686D44">
        <w:rPr>
          <w:rFonts w:eastAsia="Times New Roman"/>
        </w:rPr>
        <w:t xml:space="preserve"> information to be deleted and </w:t>
      </w:r>
      <w:r w:rsidRPr="00686D44">
        <w:rPr>
          <w:rFonts w:eastAsia="Times New Roman"/>
          <w:b/>
          <w:bCs/>
          <w:u w:val="single"/>
        </w:rPr>
        <w:t>underlining</w:t>
      </w:r>
      <w:r w:rsidRPr="00686D44">
        <w:rPr>
          <w:rFonts w:eastAsia="Times New Roman"/>
        </w:rPr>
        <w:t xml:space="preserve"> information to be added.  Requirements that are proposed to be nonretroactive are printed in </w:t>
      </w:r>
      <w:r w:rsidRPr="00686D44">
        <w:rPr>
          <w:rFonts w:eastAsia="Times New Roman"/>
          <w:b/>
          <w:bCs/>
        </w:rPr>
        <w:t xml:space="preserve">bold-faced </w:t>
      </w:r>
      <w:r w:rsidRPr="00686D44">
        <w:rPr>
          <w:rFonts w:eastAsia="Times New Roman"/>
          <w:b/>
          <w:bCs/>
          <w:i/>
        </w:rPr>
        <w:t>italics.</w:t>
      </w:r>
    </w:p>
    <w:p w14:paraId="7D524DDE" w14:textId="77777777" w:rsidR="00A24A4D" w:rsidRPr="00686D44" w:rsidRDefault="00A24A4D" w:rsidP="00A24A4D">
      <w:pPr>
        <w:spacing w:after="0"/>
        <w:rPr>
          <w:rFonts w:eastAsia="Times New Roman"/>
          <w:szCs w:val="24"/>
        </w:rPr>
      </w:pPr>
    </w:p>
    <w:p w14:paraId="59822EA4" w14:textId="77777777" w:rsidR="00A24A4D" w:rsidRPr="00686D44" w:rsidRDefault="00A24A4D" w:rsidP="00A24A4D">
      <w:pPr>
        <w:spacing w:after="200"/>
      </w:pPr>
      <w:r w:rsidRPr="00686D44">
        <w:rPr>
          <w:rFonts w:eastAsia="Times New Roman"/>
          <w:szCs w:val="24"/>
        </w:rPr>
        <w:t xml:space="preserve">Presented below is a list of agenda items considered by the </w:t>
      </w:r>
      <w:r>
        <w:rPr>
          <w:rFonts w:eastAsia="Times New Roman"/>
          <w:szCs w:val="24"/>
        </w:rPr>
        <w:t>NE</w:t>
      </w:r>
      <w:r w:rsidRPr="00686D44">
        <w:rPr>
          <w:rFonts w:eastAsia="Times New Roman"/>
          <w:szCs w:val="24"/>
        </w:rPr>
        <w:t>WMA and its recommendations to the NCWM Laws and Regulations Committee.</w:t>
      </w:r>
    </w:p>
    <w:p w14:paraId="54B3D212" w14:textId="493D87FD" w:rsidR="001C61D8" w:rsidRPr="001C61D8" w:rsidRDefault="001C61D8" w:rsidP="00851302">
      <w:pPr>
        <w:suppressLineNumbers/>
        <w:rPr>
          <w:szCs w:val="22"/>
        </w:rPr>
      </w:pPr>
      <w:r>
        <w:rPr>
          <w:szCs w:val="22"/>
        </w:rP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557593">
            <w:pPr>
              <w:pStyle w:val="TableHeading"/>
              <w:keepNext/>
            </w:pPr>
            <w:bookmarkStart w:id="5"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557593">
      <w:pPr>
        <w:pStyle w:val="SubjectSeriesLevel1"/>
        <w:keepNext/>
        <w:keepLines/>
        <w:suppressLineNumbers/>
      </w:pPr>
      <w:bookmarkStart w:id="6" w:name="_Hlk497927359"/>
      <w:bookmarkEnd w:id="5"/>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557593">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557593">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557593">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557593">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557593">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557593">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557593">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557593">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557593">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557593">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557593">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557593">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557593">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557593">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557593">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557593">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557593">
      <w:pPr>
        <w:pStyle w:val="SubjectSeriesLevel2"/>
        <w:keepNext/>
        <w:keepLines/>
        <w:suppressLineNumbers/>
      </w:pPr>
      <w:bookmarkStart w:id="7"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7"/>
    <w:p w14:paraId="16058B20" w14:textId="77777777" w:rsidR="005A5535" w:rsidRPr="004303DA" w:rsidRDefault="005A5535" w:rsidP="00557593">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557593">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557593">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557593">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557593">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557593">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557593">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557593">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557593">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557593">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557593">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557593">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557593">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557593">
      <w:pPr>
        <w:pStyle w:val="SubjectSeriesLevel2"/>
        <w:keepNext/>
        <w:keepLines/>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557593">
      <w:pPr>
        <w:pStyle w:val="SubjectSeriesLevel2"/>
        <w:keepNext/>
        <w:keepLines/>
        <w:suppressLineNumbers/>
      </w:pPr>
      <w:r w:rsidRPr="004303DA">
        <w:t>Grain Moisture Meters (b)</w:t>
      </w:r>
      <w:r w:rsidRPr="004303DA">
        <w:tab/>
        <w:t>GMB Series</w:t>
      </w:r>
    </w:p>
    <w:p w14:paraId="11A1E412" w14:textId="77777777" w:rsidR="004437DB" w:rsidRPr="004303DA" w:rsidRDefault="004437DB" w:rsidP="00557593">
      <w:pPr>
        <w:pStyle w:val="SubjectSeriesLevel2"/>
        <w:keepNext/>
        <w:keepLines/>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557593">
      <w:pPr>
        <w:pStyle w:val="SubjectSeriesLevel2"/>
        <w:keepNext/>
        <w:keepLines/>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557593">
      <w:pPr>
        <w:pStyle w:val="SubjectSeriesLevel2"/>
        <w:keepNext/>
        <w:keepLines/>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557593">
      <w:pPr>
        <w:pStyle w:val="SubjectSeriesLevel2"/>
        <w:keepNext/>
        <w:keepLines/>
        <w:suppressLineNumbers/>
      </w:pPr>
      <w:r w:rsidRPr="004303DA">
        <w:t>Transportation Network Measuring Systems</w:t>
      </w:r>
      <w:r w:rsidRPr="004303DA">
        <w:tab/>
        <w:t>TNS Series</w:t>
      </w:r>
    </w:p>
    <w:p w14:paraId="65514BD5" w14:textId="143EB54B" w:rsidR="0075788B" w:rsidRPr="0075788B" w:rsidRDefault="002536D5" w:rsidP="00557593">
      <w:pPr>
        <w:pStyle w:val="SubjectSeriesLevel1"/>
        <w:keepNext/>
        <w:keepLines/>
        <w:suppressLineNumbers/>
      </w:pPr>
      <w:r w:rsidRPr="004303DA">
        <w:t>Other Items</w:t>
      </w:r>
      <w:r w:rsidRPr="004303DA">
        <w:tab/>
        <w:t>OTH</w:t>
      </w:r>
      <w:r w:rsidR="004437DB" w:rsidRPr="004303DA">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DF1A283" w14:textId="3D015787" w:rsidR="00106C14" w:rsidRDefault="008E5771">
      <w:pPr>
        <w:pStyle w:val="TOC1"/>
        <w:rPr>
          <w:rFonts w:asciiTheme="minorHAnsi" w:eastAsiaTheme="minorEastAsia" w:hAnsiTheme="minorHAnsi" w:cstheme="minorBidi"/>
          <w:b w:val="0"/>
          <w:caps w:val="0"/>
          <w:noProof/>
          <w:color w:val="auto"/>
          <w:kern w:val="2"/>
          <w:sz w:val="22"/>
          <w:szCs w:val="22"/>
          <w:lang w:eastAsia="en-US"/>
          <w14:ligatures w14:val="standardContextual"/>
        </w:rPr>
      </w:pPr>
      <w:r w:rsidRPr="00456B8C">
        <w:fldChar w:fldCharType="begin"/>
      </w:r>
      <w:r w:rsidRPr="00456B8C">
        <w:instrText xml:space="preserve"> TOC \o "1-1" \h \z \t "Appendix Heading,3,Item Heading,2,Roman Item Heading,4,Appendix2,1" </w:instrText>
      </w:r>
      <w:r w:rsidR="00B76775">
        <w:instrText xml:space="preserve">\W </w:instrText>
      </w:r>
      <w:r w:rsidRPr="00456B8C">
        <w:fldChar w:fldCharType="separate"/>
      </w:r>
      <w:hyperlink w:anchor="_Toc143527692" w:history="1">
        <w:r w:rsidR="00106C14" w:rsidRPr="00AC61D8">
          <w:rPr>
            <w:rStyle w:val="Hyperlink"/>
          </w:rPr>
          <w:t>SCL – SCALES</w:t>
        </w:r>
        <w:r w:rsidR="00106C14">
          <w:rPr>
            <w:noProof/>
            <w:webHidden/>
          </w:rPr>
          <w:tab/>
        </w:r>
        <w:r w:rsidR="00106C14">
          <w:rPr>
            <w:noProof/>
            <w:webHidden/>
          </w:rPr>
          <w:tab/>
        </w:r>
        <w:r w:rsidR="00106C14">
          <w:rPr>
            <w:noProof/>
            <w:webHidden/>
          </w:rPr>
          <w:fldChar w:fldCharType="begin"/>
        </w:r>
        <w:r w:rsidR="00106C14">
          <w:rPr>
            <w:noProof/>
            <w:webHidden/>
          </w:rPr>
          <w:instrText xml:space="preserve"> PAGEREF _Toc143527692 \h </w:instrText>
        </w:r>
        <w:r w:rsidR="00106C14">
          <w:rPr>
            <w:noProof/>
            <w:webHidden/>
          </w:rPr>
        </w:r>
        <w:r w:rsidR="00106C14">
          <w:rPr>
            <w:noProof/>
            <w:webHidden/>
          </w:rPr>
          <w:fldChar w:fldCharType="separate"/>
        </w:r>
        <w:r w:rsidR="00106C14">
          <w:rPr>
            <w:noProof/>
            <w:webHidden/>
          </w:rPr>
          <w:t>222</w:t>
        </w:r>
        <w:r w:rsidR="00106C14">
          <w:rPr>
            <w:noProof/>
            <w:webHidden/>
          </w:rPr>
          <w:fldChar w:fldCharType="end"/>
        </w:r>
      </w:hyperlink>
    </w:p>
    <w:p w14:paraId="29F44A6B" w14:textId="19E0967F"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3" w:history="1">
        <w:r w:rsidR="00106C14" w:rsidRPr="00AC61D8">
          <w:rPr>
            <w:rStyle w:val="Hyperlink"/>
          </w:rPr>
          <w:t>SCL-24.1</w:t>
        </w:r>
        <w:r w:rsidR="00106C14" w:rsidRPr="00AC61D8">
          <w:rPr>
            <w:rStyle w:val="Hyperlink"/>
          </w:rPr>
          <w:tab/>
        </w:r>
        <w:r w:rsidR="00106C14" w:rsidRPr="00AC61D8">
          <w:rPr>
            <w:rStyle w:val="Hyperlink"/>
          </w:rPr>
          <w:tab/>
          <w:t>S.1.7. Capacity Indication, Weight Ranges, and Unit Weights.</w:t>
        </w:r>
        <w:r w:rsidR="00106C14">
          <w:rPr>
            <w:noProof/>
            <w:webHidden/>
          </w:rPr>
          <w:tab/>
        </w:r>
        <w:r w:rsidR="00106C14">
          <w:rPr>
            <w:noProof/>
            <w:webHidden/>
          </w:rPr>
          <w:fldChar w:fldCharType="begin"/>
        </w:r>
        <w:r w:rsidR="00106C14">
          <w:rPr>
            <w:noProof/>
            <w:webHidden/>
          </w:rPr>
          <w:instrText xml:space="preserve"> PAGEREF _Toc143527693 \h </w:instrText>
        </w:r>
        <w:r w:rsidR="00106C14">
          <w:rPr>
            <w:noProof/>
            <w:webHidden/>
          </w:rPr>
        </w:r>
        <w:r w:rsidR="00106C14">
          <w:rPr>
            <w:noProof/>
            <w:webHidden/>
          </w:rPr>
          <w:fldChar w:fldCharType="separate"/>
        </w:r>
        <w:r w:rsidR="00106C14">
          <w:rPr>
            <w:noProof/>
            <w:webHidden/>
          </w:rPr>
          <w:t>222</w:t>
        </w:r>
        <w:r w:rsidR="00106C14">
          <w:rPr>
            <w:noProof/>
            <w:webHidden/>
          </w:rPr>
          <w:fldChar w:fldCharType="end"/>
        </w:r>
      </w:hyperlink>
    </w:p>
    <w:p w14:paraId="1BD7AD26" w14:textId="73307588"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4" w:history="1">
        <w:r w:rsidR="00106C14" w:rsidRPr="00AC61D8">
          <w:rPr>
            <w:rStyle w:val="Hyperlink"/>
          </w:rPr>
          <w:t>SCL-24.2</w:t>
        </w:r>
        <w:r w:rsidR="00106C14" w:rsidRPr="00AC61D8">
          <w:rPr>
            <w:rStyle w:val="Hyperlink"/>
          </w:rPr>
          <w:tab/>
        </w:r>
        <w:r w:rsidR="00106C14" w:rsidRPr="00AC61D8">
          <w:rPr>
            <w:rStyle w:val="Hyperlink"/>
          </w:rPr>
          <w:tab/>
          <w:t>Multiple Sections Regarding Tare</w:t>
        </w:r>
        <w:r w:rsidR="00106C14">
          <w:rPr>
            <w:noProof/>
            <w:webHidden/>
          </w:rPr>
          <w:tab/>
        </w:r>
        <w:r w:rsidR="00106C14">
          <w:rPr>
            <w:noProof/>
            <w:webHidden/>
          </w:rPr>
          <w:fldChar w:fldCharType="begin"/>
        </w:r>
        <w:r w:rsidR="00106C14">
          <w:rPr>
            <w:noProof/>
            <w:webHidden/>
          </w:rPr>
          <w:instrText xml:space="preserve"> PAGEREF _Toc143527694 \h </w:instrText>
        </w:r>
        <w:r w:rsidR="00106C14">
          <w:rPr>
            <w:noProof/>
            <w:webHidden/>
          </w:rPr>
        </w:r>
        <w:r w:rsidR="00106C14">
          <w:rPr>
            <w:noProof/>
            <w:webHidden/>
          </w:rPr>
          <w:fldChar w:fldCharType="separate"/>
        </w:r>
        <w:r w:rsidR="00106C14">
          <w:rPr>
            <w:noProof/>
            <w:webHidden/>
          </w:rPr>
          <w:t>223</w:t>
        </w:r>
        <w:r w:rsidR="00106C14">
          <w:rPr>
            <w:noProof/>
            <w:webHidden/>
          </w:rPr>
          <w:fldChar w:fldCharType="end"/>
        </w:r>
      </w:hyperlink>
    </w:p>
    <w:p w14:paraId="3C1A4476" w14:textId="7B03392D"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5" w:history="1">
        <w:r w:rsidR="00106C14" w:rsidRPr="00AC61D8">
          <w:rPr>
            <w:rStyle w:val="Hyperlink"/>
          </w:rPr>
          <w:t>SCL-22.3</w:t>
        </w:r>
        <w:r w:rsidR="00106C14" w:rsidRPr="00AC61D8">
          <w:rPr>
            <w:rStyle w:val="Hyperlink"/>
          </w:rPr>
          <w:tab/>
          <w:t>D</w:t>
        </w:r>
        <w:r w:rsidR="00106C14" w:rsidRPr="00AC61D8">
          <w:rPr>
            <w:rStyle w:val="Hyperlink"/>
          </w:rPr>
          <w:tab/>
          <w:t>UR.3.3. Single-Draft Vehicle Weighing., and UR.3.4. Axle and Axle Group Weight Values.</w:t>
        </w:r>
        <w:r w:rsidR="00106C14">
          <w:rPr>
            <w:noProof/>
            <w:webHidden/>
          </w:rPr>
          <w:tab/>
        </w:r>
        <w:r w:rsidR="00106C14">
          <w:rPr>
            <w:noProof/>
            <w:webHidden/>
          </w:rPr>
          <w:fldChar w:fldCharType="begin"/>
        </w:r>
        <w:r w:rsidR="00106C14">
          <w:rPr>
            <w:noProof/>
            <w:webHidden/>
          </w:rPr>
          <w:instrText xml:space="preserve"> PAGEREF _Toc143527695 \h </w:instrText>
        </w:r>
        <w:r w:rsidR="00106C14">
          <w:rPr>
            <w:noProof/>
            <w:webHidden/>
          </w:rPr>
        </w:r>
        <w:r w:rsidR="00106C14">
          <w:rPr>
            <w:noProof/>
            <w:webHidden/>
          </w:rPr>
          <w:fldChar w:fldCharType="separate"/>
        </w:r>
        <w:r w:rsidR="00106C14">
          <w:rPr>
            <w:noProof/>
            <w:webHidden/>
          </w:rPr>
          <w:t>236</w:t>
        </w:r>
        <w:r w:rsidR="00106C14">
          <w:rPr>
            <w:noProof/>
            <w:webHidden/>
          </w:rPr>
          <w:fldChar w:fldCharType="end"/>
        </w:r>
      </w:hyperlink>
    </w:p>
    <w:p w14:paraId="56C14728" w14:textId="1E386955"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6" w:history="1">
        <w:r w:rsidR="00106C14" w:rsidRPr="00AC61D8">
          <w:rPr>
            <w:rStyle w:val="Hyperlink"/>
          </w:rPr>
          <w:t xml:space="preserve">SCL-23.3 </w:t>
        </w:r>
        <w:r w:rsidR="00106C14" w:rsidRPr="00AC61D8">
          <w:rPr>
            <w:rStyle w:val="Hyperlink"/>
          </w:rPr>
          <w:tab/>
          <w:t>A</w:t>
        </w:r>
        <w:r w:rsidR="00106C14" w:rsidRPr="00AC61D8">
          <w:rPr>
            <w:rStyle w:val="Hyperlink"/>
          </w:rPr>
          <w:tab/>
          <w:t>Verification Scale Division e: Multiple Sections Including, T.N.1.3., Table 6., T.N.3., T.N.4., T.N.6., T.N.8., T.N.9., T.1., T.2., S.1.1.1., T.N.1.2., Table S.6.3.a., Table S.3.6.b., Appendix D, S.1.2.2., Table 3., S.5.4., UR.3., Table 8.</w:t>
        </w:r>
        <w:r w:rsidR="00106C14">
          <w:rPr>
            <w:noProof/>
            <w:webHidden/>
          </w:rPr>
          <w:tab/>
        </w:r>
        <w:r w:rsidR="00106C14">
          <w:rPr>
            <w:noProof/>
            <w:webHidden/>
          </w:rPr>
          <w:fldChar w:fldCharType="begin"/>
        </w:r>
        <w:r w:rsidR="00106C14">
          <w:rPr>
            <w:noProof/>
            <w:webHidden/>
          </w:rPr>
          <w:instrText xml:space="preserve"> PAGEREF _Toc143527696 \h </w:instrText>
        </w:r>
        <w:r w:rsidR="00106C14">
          <w:rPr>
            <w:noProof/>
            <w:webHidden/>
          </w:rPr>
        </w:r>
        <w:r w:rsidR="00106C14">
          <w:rPr>
            <w:noProof/>
            <w:webHidden/>
          </w:rPr>
          <w:fldChar w:fldCharType="separate"/>
        </w:r>
        <w:r w:rsidR="00106C14">
          <w:rPr>
            <w:noProof/>
            <w:webHidden/>
          </w:rPr>
          <w:t>239</w:t>
        </w:r>
        <w:r w:rsidR="00106C14">
          <w:rPr>
            <w:noProof/>
            <w:webHidden/>
          </w:rPr>
          <w:fldChar w:fldCharType="end"/>
        </w:r>
      </w:hyperlink>
    </w:p>
    <w:p w14:paraId="4FD3BB6C" w14:textId="5B08F4AB"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7" w:history="1">
        <w:r w:rsidR="00106C14" w:rsidRPr="00AC61D8">
          <w:rPr>
            <w:rStyle w:val="Hyperlink"/>
          </w:rPr>
          <w:t>SCL-22.2</w:t>
        </w:r>
        <w:r w:rsidR="00106C14" w:rsidRPr="00AC61D8">
          <w:rPr>
            <w:rStyle w:val="Hyperlink"/>
          </w:rPr>
          <w:tab/>
          <w:t>A</w:t>
        </w:r>
        <w:r w:rsidR="00106C14" w:rsidRPr="00AC61D8">
          <w:rPr>
            <w:rStyle w:val="Hyperlink"/>
          </w:rPr>
          <w:tab/>
          <w:t>UR.1. Selection Requirements, UR.1.X. Cannabis</w:t>
        </w:r>
        <w:r w:rsidR="00106C14">
          <w:rPr>
            <w:noProof/>
            <w:webHidden/>
          </w:rPr>
          <w:tab/>
        </w:r>
        <w:r w:rsidR="00106C14">
          <w:rPr>
            <w:noProof/>
            <w:webHidden/>
          </w:rPr>
          <w:fldChar w:fldCharType="begin"/>
        </w:r>
        <w:r w:rsidR="00106C14">
          <w:rPr>
            <w:noProof/>
            <w:webHidden/>
          </w:rPr>
          <w:instrText xml:space="preserve"> PAGEREF _Toc143527697 \h </w:instrText>
        </w:r>
        <w:r w:rsidR="00106C14">
          <w:rPr>
            <w:noProof/>
            <w:webHidden/>
          </w:rPr>
        </w:r>
        <w:r w:rsidR="00106C14">
          <w:rPr>
            <w:noProof/>
            <w:webHidden/>
          </w:rPr>
          <w:fldChar w:fldCharType="separate"/>
        </w:r>
        <w:r w:rsidR="00106C14">
          <w:rPr>
            <w:noProof/>
            <w:webHidden/>
          </w:rPr>
          <w:t>251</w:t>
        </w:r>
        <w:r w:rsidR="00106C14">
          <w:rPr>
            <w:noProof/>
            <w:webHidden/>
          </w:rPr>
          <w:fldChar w:fldCharType="end"/>
        </w:r>
      </w:hyperlink>
    </w:p>
    <w:p w14:paraId="08C9FBAC" w14:textId="2B54C398"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698" w:history="1">
        <w:r w:rsidR="00106C14" w:rsidRPr="00AC61D8">
          <w:rPr>
            <w:rStyle w:val="Hyperlink"/>
          </w:rPr>
          <w:t>AWS – automatic weighing systems code</w:t>
        </w:r>
        <w:r w:rsidR="00106C14">
          <w:rPr>
            <w:noProof/>
            <w:webHidden/>
          </w:rPr>
          <w:tab/>
        </w:r>
        <w:r w:rsidR="00106C14">
          <w:rPr>
            <w:noProof/>
            <w:webHidden/>
          </w:rPr>
          <w:fldChar w:fldCharType="begin"/>
        </w:r>
        <w:r w:rsidR="00106C14">
          <w:rPr>
            <w:noProof/>
            <w:webHidden/>
          </w:rPr>
          <w:instrText xml:space="preserve"> PAGEREF _Toc143527698 \h </w:instrText>
        </w:r>
        <w:r w:rsidR="00106C14">
          <w:rPr>
            <w:noProof/>
            <w:webHidden/>
          </w:rPr>
        </w:r>
        <w:r w:rsidR="00106C14">
          <w:rPr>
            <w:noProof/>
            <w:webHidden/>
          </w:rPr>
          <w:fldChar w:fldCharType="separate"/>
        </w:r>
        <w:r w:rsidR="00106C14">
          <w:rPr>
            <w:noProof/>
            <w:webHidden/>
          </w:rPr>
          <w:t>256</w:t>
        </w:r>
        <w:r w:rsidR="00106C14">
          <w:rPr>
            <w:noProof/>
            <w:webHidden/>
          </w:rPr>
          <w:fldChar w:fldCharType="end"/>
        </w:r>
      </w:hyperlink>
    </w:p>
    <w:p w14:paraId="47C8BC5E" w14:textId="613FDCAE"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9" w:history="1">
        <w:r w:rsidR="00106C14" w:rsidRPr="00AC61D8">
          <w:rPr>
            <w:rStyle w:val="Hyperlink"/>
          </w:rPr>
          <w:t>AWS-24.1</w:t>
        </w:r>
        <w:r w:rsidR="00106C14" w:rsidRPr="00AC61D8">
          <w:rPr>
            <w:rStyle w:val="Hyperlink"/>
          </w:rPr>
          <w:tab/>
        </w:r>
        <w:r w:rsidR="00106C14" w:rsidRPr="00AC61D8">
          <w:rPr>
            <w:rStyle w:val="Hyperlink"/>
          </w:rPr>
          <w:tab/>
          <w:t>N.1.5. Test Loads,</w:t>
        </w:r>
        <w:r w:rsidR="00106C14">
          <w:rPr>
            <w:noProof/>
            <w:webHidden/>
          </w:rPr>
          <w:tab/>
        </w:r>
        <w:r w:rsidR="00106C14">
          <w:rPr>
            <w:noProof/>
            <w:webHidden/>
          </w:rPr>
          <w:fldChar w:fldCharType="begin"/>
        </w:r>
        <w:r w:rsidR="00106C14">
          <w:rPr>
            <w:noProof/>
            <w:webHidden/>
          </w:rPr>
          <w:instrText xml:space="preserve"> PAGEREF _Toc143527699 \h </w:instrText>
        </w:r>
        <w:r w:rsidR="00106C14">
          <w:rPr>
            <w:noProof/>
            <w:webHidden/>
          </w:rPr>
        </w:r>
        <w:r w:rsidR="00106C14">
          <w:rPr>
            <w:noProof/>
            <w:webHidden/>
          </w:rPr>
          <w:fldChar w:fldCharType="separate"/>
        </w:r>
        <w:r w:rsidR="00106C14">
          <w:rPr>
            <w:noProof/>
            <w:webHidden/>
          </w:rPr>
          <w:t>256</w:t>
        </w:r>
        <w:r w:rsidR="00106C14">
          <w:rPr>
            <w:noProof/>
            <w:webHidden/>
          </w:rPr>
          <w:fldChar w:fldCharType="end"/>
        </w:r>
      </w:hyperlink>
    </w:p>
    <w:p w14:paraId="7AEF358A" w14:textId="55281932"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0" w:history="1">
        <w:r w:rsidR="00106C14" w:rsidRPr="00AC61D8">
          <w:rPr>
            <w:rStyle w:val="Hyperlink"/>
          </w:rPr>
          <w:t>AWS-24.2</w:t>
        </w:r>
        <w:r w:rsidR="00106C14" w:rsidRPr="00AC61D8">
          <w:rPr>
            <w:rStyle w:val="Hyperlink"/>
          </w:rPr>
          <w:tab/>
        </w:r>
        <w:r w:rsidR="00106C14" w:rsidRPr="00AC61D8">
          <w:rPr>
            <w:rStyle w:val="Hyperlink"/>
          </w:rPr>
          <w:tab/>
          <w:t>N.1.6. Influence Factor Testing.</w:t>
        </w:r>
        <w:r w:rsidR="00106C14">
          <w:rPr>
            <w:noProof/>
            <w:webHidden/>
          </w:rPr>
          <w:tab/>
        </w:r>
        <w:r w:rsidR="00106C14">
          <w:rPr>
            <w:noProof/>
            <w:webHidden/>
          </w:rPr>
          <w:fldChar w:fldCharType="begin"/>
        </w:r>
        <w:r w:rsidR="00106C14">
          <w:rPr>
            <w:noProof/>
            <w:webHidden/>
          </w:rPr>
          <w:instrText xml:space="preserve"> PAGEREF _Toc143527700 \h </w:instrText>
        </w:r>
        <w:r w:rsidR="00106C14">
          <w:rPr>
            <w:noProof/>
            <w:webHidden/>
          </w:rPr>
        </w:r>
        <w:r w:rsidR="00106C14">
          <w:rPr>
            <w:noProof/>
            <w:webHidden/>
          </w:rPr>
          <w:fldChar w:fldCharType="separate"/>
        </w:r>
        <w:r w:rsidR="00106C14">
          <w:rPr>
            <w:noProof/>
            <w:webHidden/>
          </w:rPr>
          <w:t>258</w:t>
        </w:r>
        <w:r w:rsidR="00106C14">
          <w:rPr>
            <w:noProof/>
            <w:webHidden/>
          </w:rPr>
          <w:fldChar w:fldCharType="end"/>
        </w:r>
      </w:hyperlink>
    </w:p>
    <w:p w14:paraId="45E5F5B4" w14:textId="1B08A34F"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1" w:history="1">
        <w:r w:rsidR="00106C14" w:rsidRPr="00AC61D8">
          <w:rPr>
            <w:rStyle w:val="Hyperlink"/>
          </w:rPr>
          <w:t>AWS-24.3</w:t>
        </w:r>
        <w:r w:rsidR="00106C14" w:rsidRPr="00AC61D8">
          <w:rPr>
            <w:rStyle w:val="Hyperlink"/>
          </w:rPr>
          <w:tab/>
        </w:r>
        <w:r w:rsidR="00106C14" w:rsidRPr="00AC61D8">
          <w:rPr>
            <w:rStyle w:val="Hyperlink"/>
          </w:rPr>
          <w:tab/>
          <w:t>N.22.3. Shift Test (Dynamic)</w:t>
        </w:r>
        <w:r w:rsidR="00106C14">
          <w:rPr>
            <w:noProof/>
            <w:webHidden/>
          </w:rPr>
          <w:tab/>
        </w:r>
        <w:r w:rsidR="00106C14">
          <w:rPr>
            <w:noProof/>
            <w:webHidden/>
          </w:rPr>
          <w:fldChar w:fldCharType="begin"/>
        </w:r>
        <w:r w:rsidR="00106C14">
          <w:rPr>
            <w:noProof/>
            <w:webHidden/>
          </w:rPr>
          <w:instrText xml:space="preserve"> PAGEREF _Toc143527701 \h </w:instrText>
        </w:r>
        <w:r w:rsidR="00106C14">
          <w:rPr>
            <w:noProof/>
            <w:webHidden/>
          </w:rPr>
        </w:r>
        <w:r w:rsidR="00106C14">
          <w:rPr>
            <w:noProof/>
            <w:webHidden/>
          </w:rPr>
          <w:fldChar w:fldCharType="separate"/>
        </w:r>
        <w:r w:rsidR="00106C14">
          <w:rPr>
            <w:noProof/>
            <w:webHidden/>
          </w:rPr>
          <w:t>260</w:t>
        </w:r>
        <w:r w:rsidR="00106C14">
          <w:rPr>
            <w:noProof/>
            <w:webHidden/>
          </w:rPr>
          <w:fldChar w:fldCharType="end"/>
        </w:r>
      </w:hyperlink>
    </w:p>
    <w:p w14:paraId="220FDCEC" w14:textId="4D8ADE54"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2" w:history="1">
        <w:r w:rsidR="00106C14" w:rsidRPr="00AC61D8">
          <w:rPr>
            <w:rStyle w:val="Hyperlink"/>
          </w:rPr>
          <w:t>WIM – WEIGH-IN-MOTION SYSTEMS – TENTATIVE CODE</w:t>
        </w:r>
        <w:r w:rsidR="00106C14">
          <w:rPr>
            <w:noProof/>
            <w:webHidden/>
          </w:rPr>
          <w:tab/>
        </w:r>
        <w:r w:rsidR="00106C14">
          <w:rPr>
            <w:noProof/>
            <w:webHidden/>
          </w:rPr>
          <w:fldChar w:fldCharType="begin"/>
        </w:r>
        <w:r w:rsidR="00106C14">
          <w:rPr>
            <w:noProof/>
            <w:webHidden/>
          </w:rPr>
          <w:instrText xml:space="preserve"> PAGEREF _Toc143527702 \h </w:instrText>
        </w:r>
        <w:r w:rsidR="00106C14">
          <w:rPr>
            <w:noProof/>
            <w:webHidden/>
          </w:rPr>
        </w:r>
        <w:r w:rsidR="00106C14">
          <w:rPr>
            <w:noProof/>
            <w:webHidden/>
          </w:rPr>
          <w:fldChar w:fldCharType="separate"/>
        </w:r>
        <w:r w:rsidR="00106C14">
          <w:rPr>
            <w:noProof/>
            <w:webHidden/>
          </w:rPr>
          <w:t>262</w:t>
        </w:r>
        <w:r w:rsidR="00106C14">
          <w:rPr>
            <w:noProof/>
            <w:webHidden/>
          </w:rPr>
          <w:fldChar w:fldCharType="end"/>
        </w:r>
      </w:hyperlink>
    </w:p>
    <w:p w14:paraId="559B1E1A" w14:textId="7868F0D4"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3" w:history="1">
        <w:r w:rsidR="00106C14" w:rsidRPr="00AC61D8">
          <w:rPr>
            <w:rStyle w:val="Hyperlink"/>
          </w:rPr>
          <w:t>WIM-23.1</w:t>
        </w:r>
        <w:r w:rsidR="00106C14" w:rsidRPr="00AC61D8">
          <w:rPr>
            <w:rStyle w:val="Hyperlink"/>
          </w:rPr>
          <w:tab/>
          <w:t>I</w:t>
        </w:r>
        <w:r w:rsidR="00106C14" w:rsidRPr="00AC61D8">
          <w:rPr>
            <w:rStyle w:val="Hyperlink"/>
          </w:rPr>
          <w:tab/>
          <w:t>Remove Tentative Status and Amend Numerous Sections Throughout</w:t>
        </w:r>
        <w:r w:rsidR="00106C14">
          <w:rPr>
            <w:noProof/>
            <w:webHidden/>
          </w:rPr>
          <w:tab/>
        </w:r>
        <w:r w:rsidR="00106C14">
          <w:rPr>
            <w:noProof/>
            <w:webHidden/>
          </w:rPr>
          <w:fldChar w:fldCharType="begin"/>
        </w:r>
        <w:r w:rsidR="00106C14">
          <w:rPr>
            <w:noProof/>
            <w:webHidden/>
          </w:rPr>
          <w:instrText xml:space="preserve"> PAGEREF _Toc143527703 \h </w:instrText>
        </w:r>
        <w:r w:rsidR="00106C14">
          <w:rPr>
            <w:noProof/>
            <w:webHidden/>
          </w:rPr>
        </w:r>
        <w:r w:rsidR="00106C14">
          <w:rPr>
            <w:noProof/>
            <w:webHidden/>
          </w:rPr>
          <w:fldChar w:fldCharType="separate"/>
        </w:r>
        <w:r w:rsidR="00106C14">
          <w:rPr>
            <w:noProof/>
            <w:webHidden/>
          </w:rPr>
          <w:t>262</w:t>
        </w:r>
        <w:r w:rsidR="00106C14">
          <w:rPr>
            <w:noProof/>
            <w:webHidden/>
          </w:rPr>
          <w:fldChar w:fldCharType="end"/>
        </w:r>
      </w:hyperlink>
    </w:p>
    <w:p w14:paraId="3ADEB984" w14:textId="31B0065F"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4" w:history="1">
        <w:r w:rsidR="00106C14" w:rsidRPr="00AC61D8">
          <w:rPr>
            <w:rStyle w:val="Hyperlink"/>
          </w:rPr>
          <w:t>VTM – VEHICLE TANK METERS</w:t>
        </w:r>
        <w:r w:rsidR="00106C14">
          <w:rPr>
            <w:noProof/>
            <w:webHidden/>
          </w:rPr>
          <w:tab/>
        </w:r>
        <w:r w:rsidR="00106C14">
          <w:rPr>
            <w:noProof/>
            <w:webHidden/>
          </w:rPr>
          <w:fldChar w:fldCharType="begin"/>
        </w:r>
        <w:r w:rsidR="00106C14">
          <w:rPr>
            <w:noProof/>
            <w:webHidden/>
          </w:rPr>
          <w:instrText xml:space="preserve"> PAGEREF _Toc143527704 \h </w:instrText>
        </w:r>
        <w:r w:rsidR="00106C14">
          <w:rPr>
            <w:noProof/>
            <w:webHidden/>
          </w:rPr>
        </w:r>
        <w:r w:rsidR="00106C14">
          <w:rPr>
            <w:noProof/>
            <w:webHidden/>
          </w:rPr>
          <w:fldChar w:fldCharType="separate"/>
        </w:r>
        <w:r w:rsidR="00106C14">
          <w:rPr>
            <w:noProof/>
            <w:webHidden/>
          </w:rPr>
          <w:t>279</w:t>
        </w:r>
        <w:r w:rsidR="00106C14">
          <w:rPr>
            <w:noProof/>
            <w:webHidden/>
          </w:rPr>
          <w:fldChar w:fldCharType="end"/>
        </w:r>
      </w:hyperlink>
    </w:p>
    <w:p w14:paraId="0D7FD047" w14:textId="33ADFE92"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5" w:history="1">
        <w:r w:rsidR="00106C14" w:rsidRPr="00AC61D8">
          <w:rPr>
            <w:rStyle w:val="Hyperlink"/>
          </w:rPr>
          <w:t>VTM-20.2</w:t>
        </w:r>
        <w:r w:rsidR="00106C14" w:rsidRPr="00AC61D8">
          <w:rPr>
            <w:rStyle w:val="Hyperlink"/>
          </w:rPr>
          <w:tab/>
          <w:t>A</w:t>
        </w:r>
        <w:r w:rsidR="00106C14" w:rsidRPr="00AC61D8">
          <w:rPr>
            <w:rStyle w:val="Hyperlink"/>
          </w:rPr>
          <w:tab/>
          <w:t>Table T.2. Tolerances for Vehicle Mounted Milk Meters.</w:t>
        </w:r>
        <w:r w:rsidR="00106C14">
          <w:rPr>
            <w:noProof/>
            <w:webHidden/>
          </w:rPr>
          <w:tab/>
        </w:r>
        <w:r w:rsidR="00106C14">
          <w:rPr>
            <w:noProof/>
            <w:webHidden/>
          </w:rPr>
          <w:fldChar w:fldCharType="begin"/>
        </w:r>
        <w:r w:rsidR="00106C14">
          <w:rPr>
            <w:noProof/>
            <w:webHidden/>
          </w:rPr>
          <w:instrText xml:space="preserve"> PAGEREF _Toc143527705 \h </w:instrText>
        </w:r>
        <w:r w:rsidR="00106C14">
          <w:rPr>
            <w:noProof/>
            <w:webHidden/>
          </w:rPr>
        </w:r>
        <w:r w:rsidR="00106C14">
          <w:rPr>
            <w:noProof/>
            <w:webHidden/>
          </w:rPr>
          <w:fldChar w:fldCharType="separate"/>
        </w:r>
        <w:r w:rsidR="00106C14">
          <w:rPr>
            <w:noProof/>
            <w:webHidden/>
          </w:rPr>
          <w:t>279</w:t>
        </w:r>
        <w:r w:rsidR="00106C14">
          <w:rPr>
            <w:noProof/>
            <w:webHidden/>
          </w:rPr>
          <w:fldChar w:fldCharType="end"/>
        </w:r>
      </w:hyperlink>
    </w:p>
    <w:p w14:paraId="7B65E6AA" w14:textId="6B7B06B9"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6" w:history="1">
        <w:r w:rsidR="00106C14" w:rsidRPr="00AC61D8">
          <w:rPr>
            <w:rStyle w:val="Hyperlink"/>
          </w:rPr>
          <w:t>LPG – LIQUIFIED PETROLEUM GAS AND ANHYDROUS AMMONIA LIQUID-MEASURING DEVICES</w:t>
        </w:r>
        <w:r w:rsidR="00106C14">
          <w:rPr>
            <w:noProof/>
            <w:webHidden/>
          </w:rPr>
          <w:tab/>
        </w:r>
        <w:r w:rsidR="00106C14">
          <w:rPr>
            <w:noProof/>
            <w:webHidden/>
          </w:rPr>
          <w:fldChar w:fldCharType="begin"/>
        </w:r>
        <w:r w:rsidR="00106C14">
          <w:rPr>
            <w:noProof/>
            <w:webHidden/>
          </w:rPr>
          <w:instrText xml:space="preserve"> PAGEREF _Toc143527706 \h </w:instrText>
        </w:r>
        <w:r w:rsidR="00106C14">
          <w:rPr>
            <w:noProof/>
            <w:webHidden/>
          </w:rPr>
        </w:r>
        <w:r w:rsidR="00106C14">
          <w:rPr>
            <w:noProof/>
            <w:webHidden/>
          </w:rPr>
          <w:fldChar w:fldCharType="separate"/>
        </w:r>
        <w:r w:rsidR="00106C14">
          <w:rPr>
            <w:noProof/>
            <w:webHidden/>
          </w:rPr>
          <w:t>287</w:t>
        </w:r>
        <w:r w:rsidR="00106C14">
          <w:rPr>
            <w:noProof/>
            <w:webHidden/>
          </w:rPr>
          <w:fldChar w:fldCharType="end"/>
        </w:r>
      </w:hyperlink>
    </w:p>
    <w:p w14:paraId="0F4F14C7" w14:textId="0F303B34"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7" w:history="1">
        <w:r w:rsidR="00106C14" w:rsidRPr="00AC61D8">
          <w:rPr>
            <w:rStyle w:val="Hyperlink"/>
          </w:rPr>
          <w:t>LPG-23.1</w:t>
        </w:r>
        <w:r w:rsidR="00106C14" w:rsidRPr="00AC61D8">
          <w:rPr>
            <w:rStyle w:val="Hyperlink"/>
          </w:rPr>
          <w:tab/>
          <w:t>I</w:t>
        </w:r>
        <w:r w:rsidR="00106C14" w:rsidRPr="00AC61D8">
          <w:rPr>
            <w:rStyle w:val="Hyperlink"/>
          </w:rPr>
          <w:tab/>
          <w:t>S.2.5. Zero-Set-Back Interlock</w:t>
        </w:r>
        <w:r w:rsidR="00106C14">
          <w:rPr>
            <w:noProof/>
            <w:webHidden/>
          </w:rPr>
          <w:tab/>
        </w:r>
        <w:r w:rsidR="00106C14">
          <w:rPr>
            <w:noProof/>
            <w:webHidden/>
          </w:rPr>
          <w:fldChar w:fldCharType="begin"/>
        </w:r>
        <w:r w:rsidR="00106C14">
          <w:rPr>
            <w:noProof/>
            <w:webHidden/>
          </w:rPr>
          <w:instrText xml:space="preserve"> PAGEREF _Toc143527707 \h </w:instrText>
        </w:r>
        <w:r w:rsidR="00106C14">
          <w:rPr>
            <w:noProof/>
            <w:webHidden/>
          </w:rPr>
        </w:r>
        <w:r w:rsidR="00106C14">
          <w:rPr>
            <w:noProof/>
            <w:webHidden/>
          </w:rPr>
          <w:fldChar w:fldCharType="separate"/>
        </w:r>
        <w:r w:rsidR="00106C14">
          <w:rPr>
            <w:noProof/>
            <w:webHidden/>
          </w:rPr>
          <w:t>287</w:t>
        </w:r>
        <w:r w:rsidR="00106C14">
          <w:rPr>
            <w:noProof/>
            <w:webHidden/>
          </w:rPr>
          <w:fldChar w:fldCharType="end"/>
        </w:r>
      </w:hyperlink>
    </w:p>
    <w:p w14:paraId="67DCC412" w14:textId="3FBF1C18"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8" w:history="1">
        <w:r w:rsidR="00106C14" w:rsidRPr="00AC61D8">
          <w:rPr>
            <w:rStyle w:val="Hyperlink"/>
          </w:rPr>
          <w:t>LPG-24.1</w:t>
        </w:r>
        <w:r w:rsidR="00106C14" w:rsidRPr="00AC61D8">
          <w:rPr>
            <w:rStyle w:val="Hyperlink"/>
          </w:rPr>
          <w:tab/>
        </w:r>
        <w:r w:rsidR="00106C14" w:rsidRPr="00AC61D8">
          <w:rPr>
            <w:rStyle w:val="Hyperlink"/>
          </w:rPr>
          <w:tab/>
        </w:r>
        <w:r w:rsidR="00106C14" w:rsidRPr="00AC61D8">
          <w:rPr>
            <w:rStyle w:val="Hyperlink"/>
            <w:i/>
          </w:rPr>
          <w:t xml:space="preserve">S.1.5.7. </w:t>
        </w:r>
        <w:r w:rsidR="00106C14" w:rsidRPr="00AC61D8">
          <w:rPr>
            <w:rStyle w:val="Hyperlink"/>
            <w:i/>
            <w:strike/>
          </w:rPr>
          <w:t>Retail Motor Fuel Dispenser</w:t>
        </w:r>
        <w:r w:rsidR="00106C14" w:rsidRPr="00AC61D8">
          <w:rPr>
            <w:rStyle w:val="Hyperlink"/>
            <w:i/>
          </w:rPr>
          <w:t xml:space="preserve">Liquefied Petroleum Gas Retail Motor Fuel Device., S.2.6.1. Electronic Stationary (Other than Stationary </w:t>
        </w:r>
        <w:r w:rsidR="00106C14" w:rsidRPr="00AC61D8">
          <w:rPr>
            <w:rStyle w:val="Hyperlink"/>
            <w:i/>
            <w:strike/>
          </w:rPr>
          <w:t>Retail Motor Fuel Dispensers</w:t>
        </w:r>
        <w:r w:rsidR="00106C14" w:rsidRPr="00AC61D8">
          <w:rPr>
            <w:rStyle w:val="Hyperlink"/>
            <w:i/>
          </w:rPr>
          <w:t xml:space="preserve">Liquefied Petroleum Gas Retail Motor Fuel Device). S.6.2. Automatic Timeout Pay-at-Pump </w:t>
        </w:r>
        <w:r w:rsidR="00106C14" w:rsidRPr="00AC61D8">
          <w:rPr>
            <w:rStyle w:val="Hyperlink"/>
            <w:i/>
            <w:strike/>
          </w:rPr>
          <w:t>Retail Motor Fuels Devices</w:t>
        </w:r>
        <w:r w:rsidR="00106C14" w:rsidRPr="00AC61D8">
          <w:rPr>
            <w:rStyle w:val="Hyperlink"/>
            <w:i/>
          </w:rPr>
          <w:t>Liquefied Petroleum Gas Retail Motor Fuel Device.</w:t>
        </w:r>
        <w:r w:rsidR="00106C14" w:rsidRPr="00AC61D8">
          <w:rPr>
            <w:rStyle w:val="Hyperlink"/>
          </w:rPr>
          <w:t xml:space="preserve"> and, </w:t>
        </w:r>
        <w:r w:rsidR="00106C14" w:rsidRPr="00AC61D8">
          <w:rPr>
            <w:rStyle w:val="Hyperlink"/>
            <w:i/>
          </w:rPr>
          <w:t xml:space="preserve">S.4.3. Location of Marking Information: </w:t>
        </w:r>
        <w:r w:rsidR="00106C14" w:rsidRPr="00AC61D8">
          <w:rPr>
            <w:rStyle w:val="Hyperlink"/>
            <w:i/>
            <w:strike/>
          </w:rPr>
          <w:t>Retail Motor Fuel Dispensers</w:t>
        </w:r>
        <w:r w:rsidR="00106C14" w:rsidRPr="00AC61D8">
          <w:rPr>
            <w:rStyle w:val="Hyperlink"/>
            <w:i/>
          </w:rPr>
          <w:t>Liquefied Petroleum Gas Retail Motor Fuel Device.</w:t>
        </w:r>
        <w:r w:rsidR="00106C14">
          <w:rPr>
            <w:noProof/>
            <w:webHidden/>
          </w:rPr>
          <w:tab/>
        </w:r>
        <w:r w:rsidR="00106C14">
          <w:rPr>
            <w:noProof/>
            <w:webHidden/>
          </w:rPr>
          <w:fldChar w:fldCharType="begin"/>
        </w:r>
        <w:r w:rsidR="00106C14">
          <w:rPr>
            <w:noProof/>
            <w:webHidden/>
          </w:rPr>
          <w:instrText xml:space="preserve"> PAGEREF _Toc143527708 \h </w:instrText>
        </w:r>
        <w:r w:rsidR="00106C14">
          <w:rPr>
            <w:noProof/>
            <w:webHidden/>
          </w:rPr>
        </w:r>
        <w:r w:rsidR="00106C14">
          <w:rPr>
            <w:noProof/>
            <w:webHidden/>
          </w:rPr>
          <w:fldChar w:fldCharType="separate"/>
        </w:r>
        <w:r w:rsidR="00106C14">
          <w:rPr>
            <w:noProof/>
            <w:webHidden/>
          </w:rPr>
          <w:t>291</w:t>
        </w:r>
        <w:r w:rsidR="00106C14">
          <w:rPr>
            <w:noProof/>
            <w:webHidden/>
          </w:rPr>
          <w:fldChar w:fldCharType="end"/>
        </w:r>
      </w:hyperlink>
    </w:p>
    <w:p w14:paraId="1B5AE612" w14:textId="3E24E523"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9" w:history="1">
        <w:r w:rsidR="00106C14" w:rsidRPr="00AC61D8">
          <w:rPr>
            <w:rStyle w:val="Hyperlink"/>
          </w:rPr>
          <w:t>LPG-24.2</w:t>
        </w:r>
        <w:r w:rsidR="00106C14" w:rsidRPr="00AC61D8">
          <w:rPr>
            <w:rStyle w:val="Hyperlink"/>
          </w:rPr>
          <w:tab/>
        </w:r>
        <w:r w:rsidR="00106C14" w:rsidRPr="00AC61D8">
          <w:rPr>
            <w:rStyle w:val="Hyperlink"/>
          </w:rPr>
          <w:tab/>
        </w:r>
        <w:r w:rsidR="00106C14" w:rsidRPr="00AC61D8">
          <w:rPr>
            <w:rStyle w:val="Hyperlink"/>
            <w:i/>
            <w:strike/>
          </w:rPr>
          <w:t>S.2.5. Zero-Set-Back Interlock.</w:t>
        </w:r>
        <w:r w:rsidR="00106C14" w:rsidRPr="00AC61D8">
          <w:rPr>
            <w:rStyle w:val="Hyperlink"/>
          </w:rPr>
          <w:t xml:space="preserve"> S.2.5. Zero-Set-Back Interlock.</w:t>
        </w:r>
        <w:r w:rsidR="00106C14">
          <w:rPr>
            <w:noProof/>
            <w:webHidden/>
          </w:rPr>
          <w:tab/>
        </w:r>
        <w:r w:rsidR="00106C14">
          <w:rPr>
            <w:noProof/>
            <w:webHidden/>
          </w:rPr>
          <w:fldChar w:fldCharType="begin"/>
        </w:r>
        <w:r w:rsidR="00106C14">
          <w:rPr>
            <w:noProof/>
            <w:webHidden/>
          </w:rPr>
          <w:instrText xml:space="preserve"> PAGEREF _Toc143527709 \h </w:instrText>
        </w:r>
        <w:r w:rsidR="00106C14">
          <w:rPr>
            <w:noProof/>
            <w:webHidden/>
          </w:rPr>
        </w:r>
        <w:r w:rsidR="00106C14">
          <w:rPr>
            <w:noProof/>
            <w:webHidden/>
          </w:rPr>
          <w:fldChar w:fldCharType="separate"/>
        </w:r>
        <w:r w:rsidR="00106C14">
          <w:rPr>
            <w:noProof/>
            <w:webHidden/>
          </w:rPr>
          <w:t>293</w:t>
        </w:r>
        <w:r w:rsidR="00106C14">
          <w:rPr>
            <w:noProof/>
            <w:webHidden/>
          </w:rPr>
          <w:fldChar w:fldCharType="end"/>
        </w:r>
      </w:hyperlink>
    </w:p>
    <w:p w14:paraId="0938F9DD" w14:textId="7787B9FF"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0" w:history="1">
        <w:r w:rsidR="00106C14" w:rsidRPr="00AC61D8">
          <w:rPr>
            <w:rStyle w:val="Hyperlink"/>
          </w:rPr>
          <w:t>MLK – MILK METERS</w:t>
        </w:r>
        <w:r w:rsidR="00106C14">
          <w:rPr>
            <w:noProof/>
            <w:webHidden/>
          </w:rPr>
          <w:tab/>
        </w:r>
        <w:r w:rsidR="00106C14">
          <w:rPr>
            <w:noProof/>
            <w:webHidden/>
          </w:rPr>
          <w:tab/>
        </w:r>
        <w:r w:rsidR="00106C14">
          <w:rPr>
            <w:noProof/>
            <w:webHidden/>
          </w:rPr>
          <w:fldChar w:fldCharType="begin"/>
        </w:r>
        <w:r w:rsidR="00106C14">
          <w:rPr>
            <w:noProof/>
            <w:webHidden/>
          </w:rPr>
          <w:instrText xml:space="preserve"> PAGEREF _Toc143527710 \h </w:instrText>
        </w:r>
        <w:r w:rsidR="00106C14">
          <w:rPr>
            <w:noProof/>
            <w:webHidden/>
          </w:rPr>
        </w:r>
        <w:r w:rsidR="00106C14">
          <w:rPr>
            <w:noProof/>
            <w:webHidden/>
          </w:rPr>
          <w:fldChar w:fldCharType="separate"/>
        </w:r>
        <w:r w:rsidR="00106C14">
          <w:rPr>
            <w:noProof/>
            <w:webHidden/>
          </w:rPr>
          <w:t>296</w:t>
        </w:r>
        <w:r w:rsidR="00106C14">
          <w:rPr>
            <w:noProof/>
            <w:webHidden/>
          </w:rPr>
          <w:fldChar w:fldCharType="end"/>
        </w:r>
      </w:hyperlink>
    </w:p>
    <w:p w14:paraId="69D64509" w14:textId="6C284C53"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1" w:history="1">
        <w:r w:rsidR="00106C14" w:rsidRPr="00AC61D8">
          <w:rPr>
            <w:rStyle w:val="Hyperlink"/>
          </w:rPr>
          <w:t>MLK-23.2</w:t>
        </w:r>
        <w:r w:rsidR="00106C14" w:rsidRPr="00AC61D8">
          <w:rPr>
            <w:rStyle w:val="Hyperlink"/>
          </w:rPr>
          <w:tab/>
          <w:t>A</w:t>
        </w:r>
        <w:r w:rsidR="00106C14" w:rsidRPr="00AC61D8">
          <w:rPr>
            <w:rStyle w:val="Hyperlink"/>
          </w:rPr>
          <w:tab/>
          <w:t>Table T.1. Tolerances for Milk Meters</w:t>
        </w:r>
        <w:r w:rsidR="00106C14">
          <w:rPr>
            <w:noProof/>
            <w:webHidden/>
          </w:rPr>
          <w:tab/>
        </w:r>
        <w:r w:rsidR="00106C14">
          <w:rPr>
            <w:noProof/>
            <w:webHidden/>
          </w:rPr>
          <w:fldChar w:fldCharType="begin"/>
        </w:r>
        <w:r w:rsidR="00106C14">
          <w:rPr>
            <w:noProof/>
            <w:webHidden/>
          </w:rPr>
          <w:instrText xml:space="preserve"> PAGEREF _Toc143527711 \h </w:instrText>
        </w:r>
        <w:r w:rsidR="00106C14">
          <w:rPr>
            <w:noProof/>
            <w:webHidden/>
          </w:rPr>
        </w:r>
        <w:r w:rsidR="00106C14">
          <w:rPr>
            <w:noProof/>
            <w:webHidden/>
          </w:rPr>
          <w:fldChar w:fldCharType="separate"/>
        </w:r>
        <w:r w:rsidR="00106C14">
          <w:rPr>
            <w:noProof/>
            <w:webHidden/>
          </w:rPr>
          <w:t>296</w:t>
        </w:r>
        <w:r w:rsidR="00106C14">
          <w:rPr>
            <w:noProof/>
            <w:webHidden/>
          </w:rPr>
          <w:fldChar w:fldCharType="end"/>
        </w:r>
      </w:hyperlink>
    </w:p>
    <w:p w14:paraId="5C235B7C" w14:textId="053DFD1B"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2" w:history="1">
        <w:r w:rsidR="00106C14" w:rsidRPr="00AC61D8">
          <w:rPr>
            <w:rStyle w:val="Hyperlink"/>
          </w:rPr>
          <w:t>HGM – HYDROGEN GAS-MEASURING DEVICES</w:t>
        </w:r>
        <w:r w:rsidR="00106C14">
          <w:rPr>
            <w:noProof/>
            <w:webHidden/>
          </w:rPr>
          <w:tab/>
        </w:r>
        <w:r w:rsidR="00106C14">
          <w:rPr>
            <w:noProof/>
            <w:webHidden/>
          </w:rPr>
          <w:fldChar w:fldCharType="begin"/>
        </w:r>
        <w:r w:rsidR="00106C14">
          <w:rPr>
            <w:noProof/>
            <w:webHidden/>
          </w:rPr>
          <w:instrText xml:space="preserve"> PAGEREF _Toc143527712 \h </w:instrText>
        </w:r>
        <w:r w:rsidR="00106C14">
          <w:rPr>
            <w:noProof/>
            <w:webHidden/>
          </w:rPr>
        </w:r>
        <w:r w:rsidR="00106C14">
          <w:rPr>
            <w:noProof/>
            <w:webHidden/>
          </w:rPr>
          <w:fldChar w:fldCharType="separate"/>
        </w:r>
        <w:r w:rsidR="00106C14">
          <w:rPr>
            <w:noProof/>
            <w:webHidden/>
          </w:rPr>
          <w:t>298</w:t>
        </w:r>
        <w:r w:rsidR="00106C14">
          <w:rPr>
            <w:noProof/>
            <w:webHidden/>
          </w:rPr>
          <w:fldChar w:fldCharType="end"/>
        </w:r>
      </w:hyperlink>
    </w:p>
    <w:p w14:paraId="53798F7E" w14:textId="152C5468"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3" w:history="1">
        <w:r w:rsidR="00106C14" w:rsidRPr="00AC61D8">
          <w:rPr>
            <w:rStyle w:val="Hyperlink"/>
          </w:rPr>
          <w:t>HGM-23.1</w:t>
        </w:r>
        <w:r w:rsidR="00106C14" w:rsidRPr="00AC61D8">
          <w:rPr>
            <w:rStyle w:val="Hyperlink"/>
          </w:rPr>
          <w:tab/>
          <w:t>D</w:t>
        </w:r>
        <w:r w:rsidR="00106C14" w:rsidRPr="00AC61D8">
          <w:rPr>
            <w:rStyle w:val="Hyperlink"/>
          </w:rPr>
          <w:tab/>
          <w:t>UR.3.8. Safety Requirement</w:t>
        </w:r>
        <w:r w:rsidR="00106C14">
          <w:rPr>
            <w:noProof/>
            <w:webHidden/>
          </w:rPr>
          <w:tab/>
        </w:r>
        <w:r w:rsidR="00106C14">
          <w:rPr>
            <w:noProof/>
            <w:webHidden/>
          </w:rPr>
          <w:fldChar w:fldCharType="begin"/>
        </w:r>
        <w:r w:rsidR="00106C14">
          <w:rPr>
            <w:noProof/>
            <w:webHidden/>
          </w:rPr>
          <w:instrText xml:space="preserve"> PAGEREF _Toc143527713 \h </w:instrText>
        </w:r>
        <w:r w:rsidR="00106C14">
          <w:rPr>
            <w:noProof/>
            <w:webHidden/>
          </w:rPr>
        </w:r>
        <w:r w:rsidR="00106C14">
          <w:rPr>
            <w:noProof/>
            <w:webHidden/>
          </w:rPr>
          <w:fldChar w:fldCharType="separate"/>
        </w:r>
        <w:r w:rsidR="00106C14">
          <w:rPr>
            <w:noProof/>
            <w:webHidden/>
          </w:rPr>
          <w:t>298</w:t>
        </w:r>
        <w:r w:rsidR="00106C14">
          <w:rPr>
            <w:noProof/>
            <w:webHidden/>
          </w:rPr>
          <w:fldChar w:fldCharType="end"/>
        </w:r>
      </w:hyperlink>
    </w:p>
    <w:p w14:paraId="7982C0BE" w14:textId="3913A8BD"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4" w:history="1">
        <w:r w:rsidR="00106C14" w:rsidRPr="00AC61D8">
          <w:rPr>
            <w:rStyle w:val="Hyperlink"/>
          </w:rPr>
          <w:t>EVF – ELECTRIC VEHICLE FUELING SYSTEMS</w:t>
        </w:r>
        <w:r w:rsidR="00106C14">
          <w:rPr>
            <w:noProof/>
            <w:webHidden/>
          </w:rPr>
          <w:tab/>
        </w:r>
        <w:r w:rsidR="00106C14">
          <w:rPr>
            <w:noProof/>
            <w:webHidden/>
          </w:rPr>
          <w:fldChar w:fldCharType="begin"/>
        </w:r>
        <w:r w:rsidR="00106C14">
          <w:rPr>
            <w:noProof/>
            <w:webHidden/>
          </w:rPr>
          <w:instrText xml:space="preserve"> PAGEREF _Toc143527714 \h </w:instrText>
        </w:r>
        <w:r w:rsidR="00106C14">
          <w:rPr>
            <w:noProof/>
            <w:webHidden/>
          </w:rPr>
        </w:r>
        <w:r w:rsidR="00106C14">
          <w:rPr>
            <w:noProof/>
            <w:webHidden/>
          </w:rPr>
          <w:fldChar w:fldCharType="separate"/>
        </w:r>
        <w:r w:rsidR="00106C14">
          <w:rPr>
            <w:noProof/>
            <w:webHidden/>
          </w:rPr>
          <w:t>301</w:t>
        </w:r>
        <w:r w:rsidR="00106C14">
          <w:rPr>
            <w:noProof/>
            <w:webHidden/>
          </w:rPr>
          <w:fldChar w:fldCharType="end"/>
        </w:r>
      </w:hyperlink>
    </w:p>
    <w:p w14:paraId="28292F69" w14:textId="72700D8E"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5" w:history="1">
        <w:r w:rsidR="00106C14" w:rsidRPr="00AC61D8">
          <w:rPr>
            <w:rStyle w:val="Hyperlink"/>
          </w:rPr>
          <w:t>EVF-24.1</w:t>
        </w:r>
        <w:r w:rsidR="00106C14" w:rsidRPr="00AC61D8">
          <w:rPr>
            <w:rStyle w:val="Hyperlink"/>
          </w:rPr>
          <w:tab/>
        </w:r>
        <w:r w:rsidR="00106C14" w:rsidRPr="00AC61D8">
          <w:rPr>
            <w:rStyle w:val="Hyperlink"/>
          </w:rPr>
          <w:tab/>
          <w:t>S.1.3. Mobile Device as Indicating Element for AC Chargers.</w:t>
        </w:r>
        <w:r w:rsidR="00106C14">
          <w:rPr>
            <w:noProof/>
            <w:webHidden/>
          </w:rPr>
          <w:tab/>
        </w:r>
        <w:r w:rsidR="00106C14">
          <w:rPr>
            <w:noProof/>
            <w:webHidden/>
          </w:rPr>
          <w:fldChar w:fldCharType="begin"/>
        </w:r>
        <w:r w:rsidR="00106C14">
          <w:rPr>
            <w:noProof/>
            <w:webHidden/>
          </w:rPr>
          <w:instrText xml:space="preserve"> PAGEREF _Toc143527715 \h </w:instrText>
        </w:r>
        <w:r w:rsidR="00106C14">
          <w:rPr>
            <w:noProof/>
            <w:webHidden/>
          </w:rPr>
        </w:r>
        <w:r w:rsidR="00106C14">
          <w:rPr>
            <w:noProof/>
            <w:webHidden/>
          </w:rPr>
          <w:fldChar w:fldCharType="separate"/>
        </w:r>
        <w:r w:rsidR="00106C14">
          <w:rPr>
            <w:noProof/>
            <w:webHidden/>
          </w:rPr>
          <w:t>301</w:t>
        </w:r>
        <w:r w:rsidR="00106C14">
          <w:rPr>
            <w:noProof/>
            <w:webHidden/>
          </w:rPr>
          <w:fldChar w:fldCharType="end"/>
        </w:r>
      </w:hyperlink>
    </w:p>
    <w:p w14:paraId="4F0CA8AF" w14:textId="7674E159"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6" w:history="1">
        <w:r w:rsidR="00106C14" w:rsidRPr="00AC61D8">
          <w:rPr>
            <w:rStyle w:val="Hyperlink"/>
          </w:rPr>
          <w:t>EVF-24.2</w:t>
        </w:r>
        <w:r w:rsidR="00106C14" w:rsidRPr="00AC61D8">
          <w:rPr>
            <w:rStyle w:val="Hyperlink"/>
          </w:rPr>
          <w:tab/>
        </w:r>
        <w:r w:rsidR="00106C14" w:rsidRPr="00AC61D8">
          <w:rPr>
            <w:rStyle w:val="Hyperlink"/>
          </w:rPr>
          <w:tab/>
          <w:t>S.2.7. Indication of Delivery, N.5.2. Accuracy Testing., and T.2.1. EVSE Load Test Differences.</w:t>
        </w:r>
        <w:r w:rsidR="00106C14">
          <w:rPr>
            <w:noProof/>
            <w:webHidden/>
          </w:rPr>
          <w:tab/>
        </w:r>
        <w:r w:rsidR="00106C14">
          <w:rPr>
            <w:noProof/>
            <w:webHidden/>
          </w:rPr>
          <w:fldChar w:fldCharType="begin"/>
        </w:r>
        <w:r w:rsidR="00106C14">
          <w:rPr>
            <w:noProof/>
            <w:webHidden/>
          </w:rPr>
          <w:instrText xml:space="preserve"> PAGEREF _Toc143527716 \h </w:instrText>
        </w:r>
        <w:r w:rsidR="00106C14">
          <w:rPr>
            <w:noProof/>
            <w:webHidden/>
          </w:rPr>
        </w:r>
        <w:r w:rsidR="00106C14">
          <w:rPr>
            <w:noProof/>
            <w:webHidden/>
          </w:rPr>
          <w:fldChar w:fldCharType="separate"/>
        </w:r>
        <w:r w:rsidR="00106C14">
          <w:rPr>
            <w:noProof/>
            <w:webHidden/>
          </w:rPr>
          <w:t>303</w:t>
        </w:r>
        <w:r w:rsidR="00106C14">
          <w:rPr>
            <w:noProof/>
            <w:webHidden/>
          </w:rPr>
          <w:fldChar w:fldCharType="end"/>
        </w:r>
      </w:hyperlink>
    </w:p>
    <w:p w14:paraId="33B01DBD" w14:textId="65A2CECA"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7" w:history="1">
        <w:r w:rsidR="00106C14" w:rsidRPr="00AC61D8">
          <w:rPr>
            <w:rStyle w:val="Hyperlink"/>
          </w:rPr>
          <w:t xml:space="preserve">EVF-23.4 </w:t>
        </w:r>
        <w:r w:rsidR="00106C14" w:rsidRPr="00AC61D8">
          <w:rPr>
            <w:rStyle w:val="Hyperlink"/>
          </w:rPr>
          <w:tab/>
          <w:t>D</w:t>
        </w:r>
        <w:r w:rsidR="00106C14" w:rsidRPr="00AC61D8">
          <w:rPr>
            <w:rStyle w:val="Hyperlink"/>
          </w:rPr>
          <w:tab/>
          <w:t>S.5.2. EVSE Identification and Marking Requirements, S.5.3. Abbreviations and Symbols, and N.5. Test of an EVSE System.</w:t>
        </w:r>
        <w:r w:rsidR="00106C14">
          <w:rPr>
            <w:noProof/>
            <w:webHidden/>
          </w:rPr>
          <w:tab/>
        </w:r>
        <w:r w:rsidR="00106C14">
          <w:rPr>
            <w:noProof/>
            <w:webHidden/>
          </w:rPr>
          <w:fldChar w:fldCharType="begin"/>
        </w:r>
        <w:r w:rsidR="00106C14">
          <w:rPr>
            <w:noProof/>
            <w:webHidden/>
          </w:rPr>
          <w:instrText xml:space="preserve"> PAGEREF _Toc143527717 \h </w:instrText>
        </w:r>
        <w:r w:rsidR="00106C14">
          <w:rPr>
            <w:noProof/>
            <w:webHidden/>
          </w:rPr>
        </w:r>
        <w:r w:rsidR="00106C14">
          <w:rPr>
            <w:noProof/>
            <w:webHidden/>
          </w:rPr>
          <w:fldChar w:fldCharType="separate"/>
        </w:r>
        <w:r w:rsidR="00106C14">
          <w:rPr>
            <w:noProof/>
            <w:webHidden/>
          </w:rPr>
          <w:t>305</w:t>
        </w:r>
        <w:r w:rsidR="00106C14">
          <w:rPr>
            <w:noProof/>
            <w:webHidden/>
          </w:rPr>
          <w:fldChar w:fldCharType="end"/>
        </w:r>
      </w:hyperlink>
    </w:p>
    <w:p w14:paraId="06719F2D" w14:textId="24C60E78"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8" w:history="1">
        <w:r w:rsidR="00106C14" w:rsidRPr="00AC61D8">
          <w:rPr>
            <w:rStyle w:val="Hyperlink"/>
          </w:rPr>
          <w:t xml:space="preserve">EVF-23.6 </w:t>
        </w:r>
        <w:r w:rsidR="00106C14" w:rsidRPr="00AC61D8">
          <w:rPr>
            <w:rStyle w:val="Hyperlink"/>
          </w:rPr>
          <w:tab/>
        </w:r>
        <w:r w:rsidR="00106C14" w:rsidRPr="00AC61D8">
          <w:rPr>
            <w:rStyle w:val="Hyperlink"/>
          </w:rPr>
          <w:tab/>
          <w:t>S.5.2. EVSE Identification and Marking Requirements., and T.2. Tolerances.</w:t>
        </w:r>
        <w:r w:rsidR="00106C14">
          <w:rPr>
            <w:noProof/>
            <w:webHidden/>
          </w:rPr>
          <w:tab/>
        </w:r>
        <w:r w:rsidR="00106C14">
          <w:rPr>
            <w:noProof/>
            <w:webHidden/>
          </w:rPr>
          <w:fldChar w:fldCharType="begin"/>
        </w:r>
        <w:r w:rsidR="00106C14">
          <w:rPr>
            <w:noProof/>
            <w:webHidden/>
          </w:rPr>
          <w:instrText xml:space="preserve"> PAGEREF _Toc143527718 \h </w:instrText>
        </w:r>
        <w:r w:rsidR="00106C14">
          <w:rPr>
            <w:noProof/>
            <w:webHidden/>
          </w:rPr>
        </w:r>
        <w:r w:rsidR="00106C14">
          <w:rPr>
            <w:noProof/>
            <w:webHidden/>
          </w:rPr>
          <w:fldChar w:fldCharType="separate"/>
        </w:r>
        <w:r w:rsidR="00106C14">
          <w:rPr>
            <w:noProof/>
            <w:webHidden/>
          </w:rPr>
          <w:t>311</w:t>
        </w:r>
        <w:r w:rsidR="00106C14">
          <w:rPr>
            <w:noProof/>
            <w:webHidden/>
          </w:rPr>
          <w:fldChar w:fldCharType="end"/>
        </w:r>
      </w:hyperlink>
    </w:p>
    <w:p w14:paraId="4FF427B6" w14:textId="3512531C"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9" w:history="1">
        <w:r w:rsidR="00106C14" w:rsidRPr="00AC61D8">
          <w:rPr>
            <w:rStyle w:val="Hyperlink"/>
          </w:rPr>
          <w:t xml:space="preserve">EVF-23.7 </w:t>
        </w:r>
        <w:r w:rsidR="00106C14" w:rsidRPr="00AC61D8">
          <w:rPr>
            <w:rStyle w:val="Hyperlink"/>
          </w:rPr>
          <w:tab/>
          <w:t>D</w:t>
        </w:r>
        <w:r w:rsidR="00106C14" w:rsidRPr="00AC61D8">
          <w:rPr>
            <w:rStyle w:val="Hyperlink"/>
          </w:rPr>
          <w:tab/>
        </w:r>
        <w:r w:rsidR="00106C14" w:rsidRPr="00AC61D8">
          <w:rPr>
            <w:rStyle w:val="Hyperlink"/>
            <w:strike/>
          </w:rPr>
          <w:t>N.1. No Load Test, N.2. Startin Load Test.</w:t>
        </w:r>
        <w:r w:rsidR="00106C14" w:rsidRPr="00AC61D8">
          <w:rPr>
            <w:rStyle w:val="Hyperlink"/>
          </w:rPr>
          <w:t>, N.5.2. Accuracy Testing, And Appendix D: maximum deliverable amperes.</w:t>
        </w:r>
        <w:r w:rsidR="00106C14">
          <w:rPr>
            <w:noProof/>
            <w:webHidden/>
          </w:rPr>
          <w:tab/>
        </w:r>
        <w:r w:rsidR="00106C14">
          <w:rPr>
            <w:noProof/>
            <w:webHidden/>
          </w:rPr>
          <w:fldChar w:fldCharType="begin"/>
        </w:r>
        <w:r w:rsidR="00106C14">
          <w:rPr>
            <w:noProof/>
            <w:webHidden/>
          </w:rPr>
          <w:instrText xml:space="preserve"> PAGEREF _Toc143527719 \h </w:instrText>
        </w:r>
        <w:r w:rsidR="00106C14">
          <w:rPr>
            <w:noProof/>
            <w:webHidden/>
          </w:rPr>
        </w:r>
        <w:r w:rsidR="00106C14">
          <w:rPr>
            <w:noProof/>
            <w:webHidden/>
          </w:rPr>
          <w:fldChar w:fldCharType="separate"/>
        </w:r>
        <w:r w:rsidR="00106C14">
          <w:rPr>
            <w:noProof/>
            <w:webHidden/>
          </w:rPr>
          <w:t>322</w:t>
        </w:r>
        <w:r w:rsidR="00106C14">
          <w:rPr>
            <w:noProof/>
            <w:webHidden/>
          </w:rPr>
          <w:fldChar w:fldCharType="end"/>
        </w:r>
      </w:hyperlink>
    </w:p>
    <w:p w14:paraId="64A44AF4" w14:textId="6C8CE9A7"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0" w:history="1">
        <w:r w:rsidR="00106C14" w:rsidRPr="00AC61D8">
          <w:rPr>
            <w:rStyle w:val="Hyperlink"/>
          </w:rPr>
          <w:t>GMA – GRAIN MOISTURE METERS 5.56 (A)</w:t>
        </w:r>
        <w:r w:rsidR="00106C14">
          <w:rPr>
            <w:noProof/>
            <w:webHidden/>
          </w:rPr>
          <w:tab/>
        </w:r>
        <w:r w:rsidR="00106C14">
          <w:rPr>
            <w:noProof/>
            <w:webHidden/>
          </w:rPr>
          <w:fldChar w:fldCharType="begin"/>
        </w:r>
        <w:r w:rsidR="00106C14">
          <w:rPr>
            <w:noProof/>
            <w:webHidden/>
          </w:rPr>
          <w:instrText xml:space="preserve"> PAGEREF _Toc143527720 \h </w:instrText>
        </w:r>
        <w:r w:rsidR="00106C14">
          <w:rPr>
            <w:noProof/>
            <w:webHidden/>
          </w:rPr>
        </w:r>
        <w:r w:rsidR="00106C14">
          <w:rPr>
            <w:noProof/>
            <w:webHidden/>
          </w:rPr>
          <w:fldChar w:fldCharType="separate"/>
        </w:r>
        <w:r w:rsidR="00106C14">
          <w:rPr>
            <w:noProof/>
            <w:webHidden/>
          </w:rPr>
          <w:t>328</w:t>
        </w:r>
        <w:r w:rsidR="00106C14">
          <w:rPr>
            <w:noProof/>
            <w:webHidden/>
          </w:rPr>
          <w:fldChar w:fldCharType="end"/>
        </w:r>
      </w:hyperlink>
    </w:p>
    <w:p w14:paraId="0DDC6AAE" w14:textId="7B9C96F4"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1" w:history="1">
        <w:r w:rsidR="00106C14" w:rsidRPr="00AC61D8">
          <w:rPr>
            <w:rStyle w:val="Hyperlink"/>
          </w:rPr>
          <w:t>GMA-19.1</w:t>
        </w:r>
        <w:r w:rsidR="00106C14" w:rsidRPr="00AC61D8">
          <w:rPr>
            <w:rStyle w:val="Hyperlink"/>
          </w:rPr>
          <w:tab/>
          <w:t>D</w:t>
        </w:r>
        <w:r w:rsidR="00106C14" w:rsidRPr="00AC61D8">
          <w:rPr>
            <w:rStyle w:val="Hyperlink"/>
          </w:rPr>
          <w:tab/>
          <w:t>Table T.2.1. Acceptance and Maintenance Tolerances Air Oven Method for All Grains and Oil Seeds.</w:t>
        </w:r>
        <w:r w:rsidR="00106C14">
          <w:rPr>
            <w:noProof/>
            <w:webHidden/>
          </w:rPr>
          <w:tab/>
        </w:r>
        <w:r w:rsidR="00106C14">
          <w:rPr>
            <w:noProof/>
            <w:webHidden/>
          </w:rPr>
          <w:fldChar w:fldCharType="begin"/>
        </w:r>
        <w:r w:rsidR="00106C14">
          <w:rPr>
            <w:noProof/>
            <w:webHidden/>
          </w:rPr>
          <w:instrText xml:space="preserve"> PAGEREF _Toc143527721 \h </w:instrText>
        </w:r>
        <w:r w:rsidR="00106C14">
          <w:rPr>
            <w:noProof/>
            <w:webHidden/>
          </w:rPr>
        </w:r>
        <w:r w:rsidR="00106C14">
          <w:rPr>
            <w:noProof/>
            <w:webHidden/>
          </w:rPr>
          <w:fldChar w:fldCharType="separate"/>
        </w:r>
        <w:r w:rsidR="00106C14">
          <w:rPr>
            <w:noProof/>
            <w:webHidden/>
          </w:rPr>
          <w:t>328</w:t>
        </w:r>
        <w:r w:rsidR="00106C14">
          <w:rPr>
            <w:noProof/>
            <w:webHidden/>
          </w:rPr>
          <w:fldChar w:fldCharType="end"/>
        </w:r>
      </w:hyperlink>
    </w:p>
    <w:p w14:paraId="5BF5483C" w14:textId="60A01050"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2" w:history="1">
        <w:r w:rsidR="00106C14" w:rsidRPr="00AC61D8">
          <w:rPr>
            <w:rStyle w:val="Hyperlink"/>
          </w:rPr>
          <w:t>OTH – OTHER ITEMS</w:t>
        </w:r>
        <w:r w:rsidR="00106C14">
          <w:rPr>
            <w:noProof/>
            <w:webHidden/>
          </w:rPr>
          <w:tab/>
        </w:r>
        <w:r w:rsidR="00106C14">
          <w:rPr>
            <w:noProof/>
            <w:webHidden/>
          </w:rPr>
          <w:fldChar w:fldCharType="begin"/>
        </w:r>
        <w:r w:rsidR="00106C14">
          <w:rPr>
            <w:noProof/>
            <w:webHidden/>
          </w:rPr>
          <w:instrText xml:space="preserve"> PAGEREF _Toc143527722 \h </w:instrText>
        </w:r>
        <w:r w:rsidR="00106C14">
          <w:rPr>
            <w:noProof/>
            <w:webHidden/>
          </w:rPr>
        </w:r>
        <w:r w:rsidR="00106C14">
          <w:rPr>
            <w:noProof/>
            <w:webHidden/>
          </w:rPr>
          <w:fldChar w:fldCharType="separate"/>
        </w:r>
        <w:r w:rsidR="00106C14">
          <w:rPr>
            <w:noProof/>
            <w:webHidden/>
          </w:rPr>
          <w:t>330</w:t>
        </w:r>
        <w:r w:rsidR="00106C14">
          <w:rPr>
            <w:noProof/>
            <w:webHidden/>
          </w:rPr>
          <w:fldChar w:fldCharType="end"/>
        </w:r>
      </w:hyperlink>
    </w:p>
    <w:p w14:paraId="6BE11A62" w14:textId="07524AC9"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3" w:history="1">
        <w:r w:rsidR="00106C14" w:rsidRPr="00AC61D8">
          <w:rPr>
            <w:rStyle w:val="Hyperlink"/>
          </w:rPr>
          <w:t>OTH-16.1</w:t>
        </w:r>
        <w:r w:rsidR="00106C14" w:rsidRPr="00AC61D8">
          <w:rPr>
            <w:rStyle w:val="Hyperlink"/>
          </w:rPr>
          <w:tab/>
          <w:t>I</w:t>
        </w:r>
        <w:r w:rsidR="00106C14" w:rsidRPr="00AC61D8">
          <w:rPr>
            <w:rStyle w:val="Hyperlink"/>
          </w:rPr>
          <w:tab/>
          <w:t>Electric Watthour Meters Tentative Code</w:t>
        </w:r>
        <w:r w:rsidR="00106C14">
          <w:rPr>
            <w:noProof/>
            <w:webHidden/>
          </w:rPr>
          <w:tab/>
        </w:r>
        <w:r w:rsidR="00106C14">
          <w:rPr>
            <w:noProof/>
            <w:webHidden/>
          </w:rPr>
          <w:fldChar w:fldCharType="begin"/>
        </w:r>
        <w:r w:rsidR="00106C14">
          <w:rPr>
            <w:noProof/>
            <w:webHidden/>
          </w:rPr>
          <w:instrText xml:space="preserve"> PAGEREF _Toc143527723 \h </w:instrText>
        </w:r>
        <w:r w:rsidR="00106C14">
          <w:rPr>
            <w:noProof/>
            <w:webHidden/>
          </w:rPr>
        </w:r>
        <w:r w:rsidR="00106C14">
          <w:rPr>
            <w:noProof/>
            <w:webHidden/>
          </w:rPr>
          <w:fldChar w:fldCharType="separate"/>
        </w:r>
        <w:r w:rsidR="00106C14">
          <w:rPr>
            <w:noProof/>
            <w:webHidden/>
          </w:rPr>
          <w:t>330</w:t>
        </w:r>
        <w:r w:rsidR="00106C14">
          <w:rPr>
            <w:noProof/>
            <w:webHidden/>
          </w:rPr>
          <w:fldChar w:fldCharType="end"/>
        </w:r>
      </w:hyperlink>
    </w:p>
    <w:p w14:paraId="35BE13B8" w14:textId="7359E844"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4" w:history="1">
        <w:r w:rsidR="00106C14" w:rsidRPr="00AC61D8">
          <w:rPr>
            <w:rStyle w:val="Hyperlink"/>
          </w:rPr>
          <w:t>OTH-24.1</w:t>
        </w:r>
        <w:r w:rsidR="00106C14" w:rsidRPr="00AC61D8">
          <w:rPr>
            <w:rStyle w:val="Hyperlink"/>
          </w:rPr>
          <w:tab/>
        </w:r>
        <w:r w:rsidR="00106C14" w:rsidRPr="00AC61D8">
          <w:rPr>
            <w:rStyle w:val="Hyperlink"/>
          </w:rPr>
          <w:tab/>
          <w:t>Appendix D, Definitions: liquefied petroleum gas retail motor-fuel device.</w:t>
        </w:r>
        <w:r w:rsidR="00106C14">
          <w:rPr>
            <w:noProof/>
            <w:webHidden/>
          </w:rPr>
          <w:tab/>
        </w:r>
        <w:r w:rsidR="00106C14">
          <w:rPr>
            <w:noProof/>
            <w:webHidden/>
          </w:rPr>
          <w:fldChar w:fldCharType="begin"/>
        </w:r>
        <w:r w:rsidR="00106C14">
          <w:rPr>
            <w:noProof/>
            <w:webHidden/>
          </w:rPr>
          <w:instrText xml:space="preserve"> PAGEREF _Toc143527724 \h </w:instrText>
        </w:r>
        <w:r w:rsidR="00106C14">
          <w:rPr>
            <w:noProof/>
            <w:webHidden/>
          </w:rPr>
        </w:r>
        <w:r w:rsidR="00106C14">
          <w:rPr>
            <w:noProof/>
            <w:webHidden/>
          </w:rPr>
          <w:fldChar w:fldCharType="separate"/>
        </w:r>
        <w:r w:rsidR="00106C14">
          <w:rPr>
            <w:noProof/>
            <w:webHidden/>
          </w:rPr>
          <w:t>353</w:t>
        </w:r>
        <w:r w:rsidR="00106C14">
          <w:rPr>
            <w:noProof/>
            <w:webHidden/>
          </w:rPr>
          <w:fldChar w:fldCharType="end"/>
        </w:r>
      </w:hyperlink>
    </w:p>
    <w:p w14:paraId="580745E5" w14:textId="619E48DB"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5" w:history="1">
        <w:r w:rsidR="00106C14" w:rsidRPr="00AC61D8">
          <w:rPr>
            <w:rStyle w:val="Hyperlink"/>
          </w:rPr>
          <w:t>OTH-24.2</w:t>
        </w:r>
        <w:r w:rsidR="00106C14" w:rsidRPr="00AC61D8">
          <w:rPr>
            <w:rStyle w:val="Hyperlink"/>
          </w:rPr>
          <w:tab/>
        </w:r>
        <w:r w:rsidR="00106C14" w:rsidRPr="00AC61D8">
          <w:rPr>
            <w:rStyle w:val="Hyperlink"/>
          </w:rPr>
          <w:tab/>
          <w:t>Appendix D, Definitions: National Type Evaluation Program (NTEP) and Certificate of Conformance (CC)</w:t>
        </w:r>
        <w:r w:rsidR="00106C14">
          <w:rPr>
            <w:noProof/>
            <w:webHidden/>
          </w:rPr>
          <w:tab/>
        </w:r>
        <w:r w:rsidR="00106C14">
          <w:rPr>
            <w:noProof/>
            <w:webHidden/>
          </w:rPr>
          <w:fldChar w:fldCharType="begin"/>
        </w:r>
        <w:r w:rsidR="00106C14">
          <w:rPr>
            <w:noProof/>
            <w:webHidden/>
          </w:rPr>
          <w:instrText xml:space="preserve"> PAGEREF _Toc143527725 \h </w:instrText>
        </w:r>
        <w:r w:rsidR="00106C14">
          <w:rPr>
            <w:noProof/>
            <w:webHidden/>
          </w:rPr>
        </w:r>
        <w:r w:rsidR="00106C14">
          <w:rPr>
            <w:noProof/>
            <w:webHidden/>
          </w:rPr>
          <w:fldChar w:fldCharType="separate"/>
        </w:r>
        <w:r w:rsidR="00106C14">
          <w:rPr>
            <w:noProof/>
            <w:webHidden/>
          </w:rPr>
          <w:t>355</w:t>
        </w:r>
        <w:r w:rsidR="00106C14">
          <w:rPr>
            <w:noProof/>
            <w:webHidden/>
          </w:rPr>
          <w:fldChar w:fldCharType="end"/>
        </w:r>
      </w:hyperlink>
    </w:p>
    <w:p w14:paraId="2A114A0B" w14:textId="6E47F1D7" w:rsidR="00106C14" w:rsidRDefault="00000000">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6" w:history="1">
        <w:r w:rsidR="00106C14" w:rsidRPr="00AC61D8">
          <w:rPr>
            <w:rStyle w:val="Hyperlink"/>
          </w:rPr>
          <w:t>Item block 1 (b1)</w:t>
        </w:r>
        <w:r w:rsidR="00106C14" w:rsidRPr="00AC61D8">
          <w:rPr>
            <w:rStyle w:val="Hyperlink"/>
          </w:rPr>
          <w:tab/>
          <w:t>Transfer Standard</w:t>
        </w:r>
        <w:r w:rsidR="00106C14">
          <w:rPr>
            <w:noProof/>
            <w:webHidden/>
          </w:rPr>
          <w:tab/>
        </w:r>
        <w:r w:rsidR="00106C14">
          <w:rPr>
            <w:noProof/>
            <w:webHidden/>
          </w:rPr>
          <w:fldChar w:fldCharType="begin"/>
        </w:r>
        <w:r w:rsidR="00106C14">
          <w:rPr>
            <w:noProof/>
            <w:webHidden/>
          </w:rPr>
          <w:instrText xml:space="preserve"> PAGEREF _Toc143527726 \h </w:instrText>
        </w:r>
        <w:r w:rsidR="00106C14">
          <w:rPr>
            <w:noProof/>
            <w:webHidden/>
          </w:rPr>
        </w:r>
        <w:r w:rsidR="00106C14">
          <w:rPr>
            <w:noProof/>
            <w:webHidden/>
          </w:rPr>
          <w:fldChar w:fldCharType="separate"/>
        </w:r>
        <w:r w:rsidR="00106C14">
          <w:rPr>
            <w:noProof/>
            <w:webHidden/>
          </w:rPr>
          <w:t>357</w:t>
        </w:r>
        <w:r w:rsidR="00106C14">
          <w:rPr>
            <w:noProof/>
            <w:webHidden/>
          </w:rPr>
          <w:fldChar w:fldCharType="end"/>
        </w:r>
      </w:hyperlink>
    </w:p>
    <w:p w14:paraId="74525864" w14:textId="7894F2FA"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7" w:history="1">
        <w:r w:rsidR="00106C14" w:rsidRPr="00AC61D8">
          <w:rPr>
            <w:rStyle w:val="Hyperlink"/>
          </w:rPr>
          <w:t>B1-LMD-24.1</w:t>
        </w:r>
        <w:r w:rsidR="00106C14" w:rsidRPr="00AC61D8">
          <w:rPr>
            <w:rStyle w:val="Hyperlink"/>
          </w:rPr>
          <w:tab/>
        </w:r>
        <w:r w:rsidR="00106C14" w:rsidRPr="00AC61D8">
          <w:rPr>
            <w:rStyle w:val="Hyperlink"/>
          </w:rPr>
          <w:tab/>
        </w:r>
        <w:r w:rsidR="00106C14" w:rsidRPr="00AC61D8">
          <w:rPr>
            <w:rStyle w:val="Hyperlink"/>
            <w:i/>
            <w:strike/>
          </w:rPr>
          <w:t>N.3.5.X.</w:t>
        </w:r>
        <w:r w:rsidR="00106C14" w:rsidRPr="00AC61D8">
          <w:rPr>
            <w:rStyle w:val="Hyperlink"/>
          </w:rPr>
          <w:t xml:space="preserve"> </w:t>
        </w:r>
        <w:r w:rsidR="00106C14" w:rsidRPr="00AC61D8">
          <w:rPr>
            <w:rStyle w:val="Hyperlink"/>
            <w:i/>
            <w:strike/>
          </w:rPr>
          <w:t>Field Standard Meter Test</w:t>
        </w:r>
        <w:r w:rsidR="00106C14" w:rsidRPr="00AC61D8">
          <w:rPr>
            <w:rStyle w:val="Hyperlink"/>
          </w:rPr>
          <w:t>N.3.5.X. Transfer Standard Test.</w:t>
        </w:r>
        <w:r w:rsidR="00106C14">
          <w:rPr>
            <w:noProof/>
            <w:webHidden/>
          </w:rPr>
          <w:tab/>
        </w:r>
        <w:r w:rsidR="00106C14">
          <w:rPr>
            <w:noProof/>
            <w:webHidden/>
          </w:rPr>
          <w:fldChar w:fldCharType="begin"/>
        </w:r>
        <w:r w:rsidR="00106C14">
          <w:rPr>
            <w:noProof/>
            <w:webHidden/>
          </w:rPr>
          <w:instrText xml:space="preserve"> PAGEREF _Toc143527727 \h </w:instrText>
        </w:r>
        <w:r w:rsidR="00106C14">
          <w:rPr>
            <w:noProof/>
            <w:webHidden/>
          </w:rPr>
        </w:r>
        <w:r w:rsidR="00106C14">
          <w:rPr>
            <w:noProof/>
            <w:webHidden/>
          </w:rPr>
          <w:fldChar w:fldCharType="separate"/>
        </w:r>
        <w:r w:rsidR="00106C14">
          <w:rPr>
            <w:noProof/>
            <w:webHidden/>
          </w:rPr>
          <w:t>357</w:t>
        </w:r>
        <w:r w:rsidR="00106C14">
          <w:rPr>
            <w:noProof/>
            <w:webHidden/>
          </w:rPr>
          <w:fldChar w:fldCharType="end"/>
        </w:r>
      </w:hyperlink>
    </w:p>
    <w:p w14:paraId="1615F0B6" w14:textId="0DAFEC86"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8" w:history="1">
        <w:r w:rsidR="00106C14" w:rsidRPr="00AC61D8">
          <w:rPr>
            <w:rStyle w:val="Hyperlink"/>
          </w:rPr>
          <w:t>B1-VTM-24.1</w:t>
        </w:r>
        <w:r w:rsidR="00106C14" w:rsidRPr="00AC61D8">
          <w:rPr>
            <w:rStyle w:val="Hyperlink"/>
          </w:rPr>
          <w:tab/>
        </w:r>
        <w:r w:rsidR="00106C14" w:rsidRPr="00AC61D8">
          <w:rPr>
            <w:rStyle w:val="Hyperlink"/>
          </w:rPr>
          <w:tab/>
        </w:r>
        <w:r w:rsidR="00106C14" w:rsidRPr="00AC61D8">
          <w:rPr>
            <w:rStyle w:val="Hyperlink"/>
            <w:i/>
            <w:strike/>
          </w:rPr>
          <w:t>N.3.5.X.</w:t>
        </w:r>
        <w:r w:rsidR="00106C14" w:rsidRPr="00AC61D8">
          <w:rPr>
            <w:rStyle w:val="Hyperlink"/>
          </w:rPr>
          <w:t xml:space="preserve"> </w:t>
        </w:r>
        <w:r w:rsidR="00106C14" w:rsidRPr="00AC61D8">
          <w:rPr>
            <w:rStyle w:val="Hyperlink"/>
            <w:i/>
            <w:strike/>
          </w:rPr>
          <w:t>Field Standard Meter Test</w:t>
        </w:r>
        <w:r w:rsidR="00106C14" w:rsidRPr="00AC61D8">
          <w:rPr>
            <w:rStyle w:val="Hyperlink"/>
          </w:rPr>
          <w:t>N.3.5.X. Transfer Standard Test.</w:t>
        </w:r>
        <w:r w:rsidR="00106C14">
          <w:rPr>
            <w:noProof/>
            <w:webHidden/>
          </w:rPr>
          <w:tab/>
        </w:r>
        <w:r w:rsidR="00106C14">
          <w:rPr>
            <w:noProof/>
            <w:webHidden/>
          </w:rPr>
          <w:fldChar w:fldCharType="begin"/>
        </w:r>
        <w:r w:rsidR="00106C14">
          <w:rPr>
            <w:noProof/>
            <w:webHidden/>
          </w:rPr>
          <w:instrText xml:space="preserve"> PAGEREF _Toc143527728 \h </w:instrText>
        </w:r>
        <w:r w:rsidR="00106C14">
          <w:rPr>
            <w:noProof/>
            <w:webHidden/>
          </w:rPr>
        </w:r>
        <w:r w:rsidR="00106C14">
          <w:rPr>
            <w:noProof/>
            <w:webHidden/>
          </w:rPr>
          <w:fldChar w:fldCharType="separate"/>
        </w:r>
        <w:r w:rsidR="00106C14">
          <w:rPr>
            <w:noProof/>
            <w:webHidden/>
          </w:rPr>
          <w:t>357</w:t>
        </w:r>
        <w:r w:rsidR="00106C14">
          <w:rPr>
            <w:noProof/>
            <w:webHidden/>
          </w:rPr>
          <w:fldChar w:fldCharType="end"/>
        </w:r>
      </w:hyperlink>
    </w:p>
    <w:p w14:paraId="62C03DAC" w14:textId="40BE6F8F"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9" w:history="1">
        <w:r w:rsidR="00106C14" w:rsidRPr="00AC61D8">
          <w:rPr>
            <w:rStyle w:val="Hyperlink"/>
          </w:rPr>
          <w:t>B1-LPG-24.3</w:t>
        </w:r>
        <w:r w:rsidR="00106C14" w:rsidRPr="00AC61D8">
          <w:rPr>
            <w:rStyle w:val="Hyperlink"/>
          </w:rPr>
          <w:tab/>
        </w:r>
        <w:r w:rsidR="00106C14" w:rsidRPr="00AC61D8">
          <w:rPr>
            <w:rStyle w:val="Hyperlink"/>
          </w:rPr>
          <w:tab/>
          <w:t xml:space="preserve">N.3.2. </w:t>
        </w:r>
        <w:r w:rsidR="00106C14" w:rsidRPr="00AC61D8">
          <w:rPr>
            <w:rStyle w:val="Hyperlink"/>
            <w:strike/>
          </w:rPr>
          <w:t>Field Standard Meter</w:t>
        </w:r>
        <w:r w:rsidR="00106C14" w:rsidRPr="00AC61D8">
          <w:rPr>
            <w:rStyle w:val="Hyperlink"/>
          </w:rPr>
          <w:t>Transfer Standard Test.</w:t>
        </w:r>
        <w:r w:rsidR="00106C14">
          <w:rPr>
            <w:noProof/>
            <w:webHidden/>
          </w:rPr>
          <w:tab/>
        </w:r>
        <w:r w:rsidR="00106C14">
          <w:rPr>
            <w:noProof/>
            <w:webHidden/>
          </w:rPr>
          <w:fldChar w:fldCharType="begin"/>
        </w:r>
        <w:r w:rsidR="00106C14">
          <w:rPr>
            <w:noProof/>
            <w:webHidden/>
          </w:rPr>
          <w:instrText xml:space="preserve"> PAGEREF _Toc143527729 \h </w:instrText>
        </w:r>
        <w:r w:rsidR="00106C14">
          <w:rPr>
            <w:noProof/>
            <w:webHidden/>
          </w:rPr>
        </w:r>
        <w:r w:rsidR="00106C14">
          <w:rPr>
            <w:noProof/>
            <w:webHidden/>
          </w:rPr>
          <w:fldChar w:fldCharType="separate"/>
        </w:r>
        <w:r w:rsidR="00106C14">
          <w:rPr>
            <w:noProof/>
            <w:webHidden/>
          </w:rPr>
          <w:t>358</w:t>
        </w:r>
        <w:r w:rsidR="00106C14">
          <w:rPr>
            <w:noProof/>
            <w:webHidden/>
          </w:rPr>
          <w:fldChar w:fldCharType="end"/>
        </w:r>
      </w:hyperlink>
    </w:p>
    <w:p w14:paraId="040ADB3C" w14:textId="26D4D6D8"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30" w:history="1">
        <w:r w:rsidR="00106C14" w:rsidRPr="00AC61D8">
          <w:rPr>
            <w:rStyle w:val="Hyperlink"/>
          </w:rPr>
          <w:t>B1-MLK-24.1</w:t>
        </w:r>
        <w:r w:rsidR="00106C14" w:rsidRPr="00AC61D8">
          <w:rPr>
            <w:rStyle w:val="Hyperlink"/>
          </w:rPr>
          <w:tab/>
        </w:r>
        <w:r w:rsidR="00106C14" w:rsidRPr="00AC61D8">
          <w:rPr>
            <w:rStyle w:val="Hyperlink"/>
          </w:rPr>
          <w:tab/>
        </w:r>
        <w:r w:rsidR="00106C14" w:rsidRPr="00AC61D8">
          <w:rPr>
            <w:rStyle w:val="Hyperlink"/>
            <w:i/>
            <w:strike/>
          </w:rPr>
          <w:t>N.3.2. Field Standard Meter Test.</w:t>
        </w:r>
        <w:r w:rsidR="00106C14" w:rsidRPr="00AC61D8">
          <w:rPr>
            <w:rStyle w:val="Hyperlink"/>
          </w:rPr>
          <w:t>N.3.2. Transfer Standard Test.</w:t>
        </w:r>
        <w:r w:rsidR="00106C14">
          <w:rPr>
            <w:noProof/>
            <w:webHidden/>
          </w:rPr>
          <w:tab/>
        </w:r>
        <w:r w:rsidR="00106C14">
          <w:rPr>
            <w:noProof/>
            <w:webHidden/>
          </w:rPr>
          <w:fldChar w:fldCharType="begin"/>
        </w:r>
        <w:r w:rsidR="00106C14">
          <w:rPr>
            <w:noProof/>
            <w:webHidden/>
          </w:rPr>
          <w:instrText xml:space="preserve"> PAGEREF _Toc143527730 \h </w:instrText>
        </w:r>
        <w:r w:rsidR="00106C14">
          <w:rPr>
            <w:noProof/>
            <w:webHidden/>
          </w:rPr>
        </w:r>
        <w:r w:rsidR="00106C14">
          <w:rPr>
            <w:noProof/>
            <w:webHidden/>
          </w:rPr>
          <w:fldChar w:fldCharType="separate"/>
        </w:r>
        <w:r w:rsidR="00106C14">
          <w:rPr>
            <w:noProof/>
            <w:webHidden/>
          </w:rPr>
          <w:t>359</w:t>
        </w:r>
        <w:r w:rsidR="00106C14">
          <w:rPr>
            <w:noProof/>
            <w:webHidden/>
          </w:rPr>
          <w:fldChar w:fldCharType="end"/>
        </w:r>
      </w:hyperlink>
    </w:p>
    <w:p w14:paraId="2F8947EB" w14:textId="0095B3A6" w:rsidR="00106C14" w:rsidRDefault="00000000">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31" w:history="1">
        <w:r w:rsidR="00106C14" w:rsidRPr="00AC61D8">
          <w:rPr>
            <w:rStyle w:val="Hyperlink"/>
          </w:rPr>
          <w:t>B1-MFM-24.1</w:t>
        </w:r>
        <w:r w:rsidR="00106C14" w:rsidRPr="00AC61D8">
          <w:rPr>
            <w:rStyle w:val="Hyperlink"/>
          </w:rPr>
          <w:tab/>
        </w:r>
        <w:r w:rsidR="00106C14" w:rsidRPr="00AC61D8">
          <w:rPr>
            <w:rStyle w:val="Hyperlink"/>
          </w:rPr>
          <w:tab/>
        </w:r>
        <w:r w:rsidR="00106C14" w:rsidRPr="00AC61D8">
          <w:rPr>
            <w:rStyle w:val="Hyperlink"/>
            <w:i/>
            <w:strike/>
          </w:rPr>
          <w:t>.</w:t>
        </w:r>
        <w:r w:rsidR="00106C14" w:rsidRPr="00AC61D8">
          <w:rPr>
            <w:rStyle w:val="Hyperlink"/>
          </w:rPr>
          <w:t xml:space="preserve">N.3.2. </w:t>
        </w:r>
        <w:r w:rsidR="00106C14" w:rsidRPr="00AC61D8">
          <w:rPr>
            <w:rStyle w:val="Hyperlink"/>
            <w:strike/>
          </w:rPr>
          <w:t>Field Standard Meter</w:t>
        </w:r>
        <w:r w:rsidR="00106C14" w:rsidRPr="00AC61D8">
          <w:rPr>
            <w:rStyle w:val="Hyperlink"/>
          </w:rPr>
          <w:t>Transfer Standard Test.</w:t>
        </w:r>
        <w:r w:rsidR="00106C14">
          <w:rPr>
            <w:noProof/>
            <w:webHidden/>
          </w:rPr>
          <w:tab/>
        </w:r>
        <w:r w:rsidR="00106C14">
          <w:rPr>
            <w:noProof/>
            <w:webHidden/>
          </w:rPr>
          <w:fldChar w:fldCharType="begin"/>
        </w:r>
        <w:r w:rsidR="00106C14">
          <w:rPr>
            <w:noProof/>
            <w:webHidden/>
          </w:rPr>
          <w:instrText xml:space="preserve"> PAGEREF _Toc143527731 \h </w:instrText>
        </w:r>
        <w:r w:rsidR="00106C14">
          <w:rPr>
            <w:noProof/>
            <w:webHidden/>
          </w:rPr>
        </w:r>
        <w:r w:rsidR="00106C14">
          <w:rPr>
            <w:noProof/>
            <w:webHidden/>
          </w:rPr>
          <w:fldChar w:fldCharType="separate"/>
        </w:r>
        <w:r w:rsidR="00106C14">
          <w:rPr>
            <w:noProof/>
            <w:webHidden/>
          </w:rPr>
          <w:t>359</w:t>
        </w:r>
        <w:r w:rsidR="00106C14">
          <w:rPr>
            <w:noProof/>
            <w:webHidden/>
          </w:rPr>
          <w:fldChar w:fldCharType="end"/>
        </w:r>
      </w:hyperlink>
    </w:p>
    <w:p w14:paraId="2DCFEBDB" w14:textId="4098C1E9" w:rsidR="003508D6" w:rsidRPr="004303DA" w:rsidRDefault="008E5771" w:rsidP="003D788B">
      <w:pPr>
        <w:pStyle w:val="TOC1"/>
        <w:tabs>
          <w:tab w:val="left" w:pos="1530"/>
        </w:tabs>
      </w:pPr>
      <w:r w:rsidRPr="00456B8C">
        <w:fldChar w:fldCharType="end"/>
      </w:r>
    </w:p>
    <w:p w14:paraId="3A3C8F2F" w14:textId="77777777" w:rsidR="00CD4515" w:rsidRPr="008156AC" w:rsidRDefault="00CD4515" w:rsidP="00CD4515">
      <w:pPr>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19F3CFBF" w:rsidR="00885401" w:rsidRPr="00EC7CBB" w:rsidRDefault="00EC7CBB" w:rsidP="00F010B1">
      <w:pPr>
        <w:suppressLineNumbers/>
        <w:tabs>
          <w:tab w:val="left" w:pos="360"/>
          <w:tab w:val="right" w:leader="dot" w:pos="9360"/>
          <w:tab w:val="right" w:leader="dot" w:pos="9720"/>
        </w:tabs>
        <w:spacing w:after="0" w:line="228" w:lineRule="auto"/>
        <w:ind w:right="360"/>
        <w:rPr>
          <w:rStyle w:val="Hyperlink"/>
          <w:noProof w:val="0"/>
        </w:rPr>
      </w:pPr>
      <w:r>
        <w:fldChar w:fldCharType="begin"/>
      </w:r>
      <w:r w:rsidR="00EA6B2B">
        <w:instrText>HYPERLINK  \l "Appendix_A"</w:instrText>
      </w:r>
      <w:r>
        <w:fldChar w:fldCharType="separate"/>
      </w:r>
      <w:r w:rsidR="008123AF" w:rsidRPr="00EC7CBB">
        <w:rPr>
          <w:rStyle w:val="Hyperlink"/>
          <w:noProof w:val="0"/>
        </w:rPr>
        <w:t>A</w:t>
      </w:r>
      <w:r w:rsidR="00A247D5" w:rsidRPr="00EC7CBB">
        <w:rPr>
          <w:rStyle w:val="Hyperlink"/>
          <w:noProof w:val="0"/>
        </w:rPr>
        <w:tab/>
      </w:r>
      <w:r w:rsidR="00F010B1" w:rsidRPr="00EC7CBB">
        <w:rPr>
          <w:rStyle w:val="Hyperlink"/>
          <w:noProof w:val="0"/>
        </w:rPr>
        <w:t xml:space="preserve">Item </w:t>
      </w:r>
      <w:r w:rsidR="00741AF9">
        <w:rPr>
          <w:rStyle w:val="Hyperlink"/>
          <w:noProof w:val="0"/>
        </w:rPr>
        <w:t>SCL-23.3</w:t>
      </w:r>
      <w:r w:rsidR="00EF3BE4" w:rsidRPr="00EC7CBB">
        <w:rPr>
          <w:rStyle w:val="Hyperlink"/>
          <w:noProof w:val="0"/>
        </w:rPr>
        <w:t xml:space="preserve"> – Final Report of the Verification Scale Division Task Group</w:t>
      </w:r>
      <w:r w:rsidR="00F010B1" w:rsidRPr="00EC7CBB">
        <w:rPr>
          <w:rStyle w:val="Hyperlink"/>
          <w:noProof w:val="0"/>
        </w:rPr>
        <w:tab/>
      </w:r>
      <w:r w:rsidR="00EA6B2B">
        <w:rPr>
          <w:rStyle w:val="Hyperlink"/>
          <w:noProof w:val="0"/>
        </w:rPr>
        <w:t>A</w:t>
      </w:r>
      <w:r w:rsidR="00AC28A7">
        <w:rPr>
          <w:rStyle w:val="Hyperlink"/>
          <w:noProof w:val="0"/>
        </w:rPr>
        <w:t>4</w:t>
      </w:r>
      <w:r w:rsidR="00DF6E5A">
        <w:rPr>
          <w:rStyle w:val="Hyperlink"/>
          <w:noProof w:val="0"/>
        </w:rPr>
        <w:t>66</w:t>
      </w:r>
    </w:p>
    <w:p w14:paraId="09E2F986" w14:textId="29048172" w:rsidR="00F010B1" w:rsidRPr="00086637" w:rsidRDefault="00EC7CBB" w:rsidP="00CD4515">
      <w:pPr>
        <w:suppressLineNumbers/>
        <w:tabs>
          <w:tab w:val="left" w:pos="400"/>
          <w:tab w:val="right" w:leader="dot" w:pos="9360"/>
          <w:tab w:val="right" w:leader="dot" w:pos="9720"/>
        </w:tabs>
        <w:spacing w:after="0" w:line="228" w:lineRule="auto"/>
        <w:ind w:right="360"/>
      </w:pPr>
      <w: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557593">
            <w:pPr>
              <w:pStyle w:val="TableHeading"/>
              <w:keepNext/>
              <w:keepLines/>
              <w:pageBreakBefore/>
              <w:suppressLineNumbers/>
            </w:pPr>
            <w:bookmarkStart w:id="8" w:name="_Hlk524086902"/>
            <w:r w:rsidRPr="004303DA">
              <w:lastRenderedPageBreak/>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8"/>
    </w:tbl>
    <w:p w14:paraId="64B5C886" w14:textId="77777777" w:rsidR="002A7D87" w:rsidRPr="004303DA" w:rsidRDefault="002A7D87" w:rsidP="00E66699">
      <w:pPr>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557593">
            <w:pPr>
              <w:pStyle w:val="TableColumnHeadings"/>
              <w:keepNext/>
              <w:keepLines/>
              <w:suppressLineNumbers/>
              <w:jc w:val="left"/>
            </w:pPr>
            <w:bookmarkStart w:id="9" w:name="_Hlk524087095"/>
            <w:r w:rsidRPr="004303DA">
              <w:t>Acronym</w:t>
            </w:r>
          </w:p>
        </w:tc>
        <w:tc>
          <w:tcPr>
            <w:tcW w:w="3071" w:type="dxa"/>
          </w:tcPr>
          <w:p w14:paraId="5C8A72EC" w14:textId="77777777" w:rsidR="002A7D87" w:rsidRPr="004303DA" w:rsidRDefault="002A7D87" w:rsidP="00557593">
            <w:pPr>
              <w:pStyle w:val="TableColumnHeadings"/>
              <w:keepNext/>
              <w:keepLines/>
              <w:suppressLineNumbers/>
              <w:jc w:val="left"/>
            </w:pPr>
            <w:r w:rsidRPr="004303DA">
              <w:t>Term</w:t>
            </w:r>
          </w:p>
        </w:tc>
        <w:tc>
          <w:tcPr>
            <w:tcW w:w="1619" w:type="dxa"/>
          </w:tcPr>
          <w:p w14:paraId="4667A9E4" w14:textId="77777777" w:rsidR="002A7D87" w:rsidRPr="004303DA" w:rsidRDefault="002A7D87" w:rsidP="00557593">
            <w:pPr>
              <w:pStyle w:val="TableColumnHeadings"/>
              <w:keepNext/>
              <w:keepLines/>
              <w:suppressLineNumbers/>
              <w:jc w:val="left"/>
            </w:pPr>
            <w:r w:rsidRPr="004303DA">
              <w:t>Acronym</w:t>
            </w:r>
          </w:p>
        </w:tc>
        <w:tc>
          <w:tcPr>
            <w:tcW w:w="3031" w:type="dxa"/>
          </w:tcPr>
          <w:p w14:paraId="11ED67B9" w14:textId="77777777" w:rsidR="002A7D87" w:rsidRPr="004303DA" w:rsidRDefault="002A7D87" w:rsidP="00557593">
            <w:pPr>
              <w:pStyle w:val="TableColumnHeadings"/>
              <w:keepNext/>
              <w:keepLine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557593">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557593">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557593">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557593">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557593">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557593">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557593">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557593">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557593">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557593">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557593">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557593">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557593">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557593">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557593">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557593">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557593">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557593">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557593">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557593">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557593">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557593">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557593">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557593">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557593">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557593">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557593">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557593">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557593">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557593">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557593">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557593">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557593">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557593">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557593">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557593">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557593">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557593">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557593">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557593">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557593">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557593">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557593">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557593">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557593">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557593">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557593">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557593">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557593">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557593">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557593">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557593">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557593">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557593">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557593">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557593">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557593">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557593">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557593">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557593">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557593">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557593">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557593">
            <w:pPr>
              <w:pStyle w:val="TableText"/>
              <w:keepNext/>
              <w:keepLines/>
              <w:suppressLineNumbers/>
              <w:spacing w:line="276" w:lineRule="auto"/>
            </w:pPr>
            <w:r w:rsidRPr="004303DA">
              <w:t>Western Weights and Measures Association</w:t>
            </w:r>
          </w:p>
        </w:tc>
      </w:tr>
      <w:bookmarkEnd w:id="9"/>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514F1B5C" w14:textId="2FF17004" w:rsidR="005C453C" w:rsidRDefault="001C08E2" w:rsidP="001963DF">
      <w:pPr>
        <w:pStyle w:val="Heading1"/>
        <w:rPr>
          <w:caps w:val="0"/>
        </w:rPr>
      </w:pPr>
      <w:bookmarkStart w:id="10" w:name="_Toc32502629"/>
      <w:bookmarkStart w:id="11" w:name="_Toc143527692"/>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4303DA">
        <w:rPr>
          <w:caps w:val="0"/>
        </w:rPr>
        <w:t>SCL – SCALES</w:t>
      </w:r>
      <w:bookmarkEnd w:id="10"/>
      <w:bookmarkEnd w:id="11"/>
    </w:p>
    <w:p w14:paraId="11034692" w14:textId="6EA40278" w:rsidR="00CB171E" w:rsidRPr="003C355F" w:rsidRDefault="008705D7" w:rsidP="008705D7">
      <w:pPr>
        <w:pStyle w:val="ItemHeading"/>
        <w:tabs>
          <w:tab w:val="clear" w:pos="900"/>
          <w:tab w:val="left" w:pos="1530"/>
        </w:tabs>
        <w:ind w:left="2160" w:hanging="2160"/>
      </w:pPr>
      <w:bookmarkStart w:id="20" w:name="_Toc143527693"/>
      <w:r>
        <w:t>SCL-24.1</w:t>
      </w:r>
      <w:r w:rsidR="00CB171E" w:rsidRPr="003C355F">
        <w:tab/>
      </w:r>
      <w:r w:rsidR="00CB171E" w:rsidRPr="003C355F">
        <w:tab/>
      </w:r>
      <w:r w:rsidR="00263687">
        <w:t>S.1.7. Capacity Indicat</w:t>
      </w:r>
      <w:r w:rsidR="00DE340C">
        <w:t>i</w:t>
      </w:r>
      <w:r w:rsidR="00263687">
        <w:t xml:space="preserve">on, </w:t>
      </w:r>
      <w:r w:rsidR="00DE340C">
        <w:t>Weight Ranges, and Unit Weights.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369E9212"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DB4A805" w14:textId="5AAAA7F0" w:rsidR="00353CA0" w:rsidRPr="00353CA0" w:rsidRDefault="000172FE" w:rsidP="00353CA0">
            <w:pPr>
              <w:spacing w:after="120"/>
              <w:jc w:val="center"/>
              <w:rPr>
                <w:rFonts w:eastAsia="Times New Roman"/>
                <w:b/>
                <w:szCs w:val="24"/>
              </w:rPr>
            </w:pPr>
            <w:r>
              <w:rPr>
                <w:rFonts w:eastAsia="Times New Roman"/>
                <w:b/>
                <w:szCs w:val="24"/>
              </w:rPr>
              <w:t>SCL-24.1</w:t>
            </w:r>
          </w:p>
        </w:tc>
      </w:tr>
      <w:tr w:rsidR="00353CA0" w:rsidRPr="00353CA0" w14:paraId="0A4A89A4" w14:textId="77777777" w:rsidTr="00192992">
        <w:tc>
          <w:tcPr>
            <w:tcW w:w="9350" w:type="dxa"/>
            <w:tcBorders>
              <w:top w:val="single" w:sz="24" w:space="0" w:color="auto"/>
              <w:left w:val="single" w:sz="4" w:space="0" w:color="auto"/>
              <w:bottom w:val="single" w:sz="4" w:space="0" w:color="auto"/>
              <w:right w:val="single" w:sz="4" w:space="0" w:color="auto"/>
            </w:tcBorders>
          </w:tcPr>
          <w:p w14:paraId="7C569699" w14:textId="77777777" w:rsidR="00353CA0" w:rsidRPr="00353CA0" w:rsidRDefault="00353CA0" w:rsidP="00353CA0">
            <w:pPr>
              <w:spacing w:after="0"/>
              <w:rPr>
                <w:rFonts w:eastAsia="Times New Roman"/>
                <w:b/>
                <w:szCs w:val="24"/>
              </w:rPr>
            </w:pPr>
            <w:r w:rsidRPr="00353CA0">
              <w:rPr>
                <w:rFonts w:eastAsia="Times New Roman"/>
                <w:b/>
                <w:szCs w:val="24"/>
              </w:rPr>
              <w:t>Regional recommendation to NCWM on item status:</w:t>
            </w:r>
          </w:p>
          <w:p w14:paraId="20DC7886" w14:textId="77777777" w:rsidR="00353CA0" w:rsidRPr="00353CA0" w:rsidRDefault="00353CA0" w:rsidP="00353CA0">
            <w:pPr>
              <w:spacing w:after="0"/>
              <w:rPr>
                <w:rFonts w:eastAsia="Times New Roman"/>
                <w:szCs w:val="24"/>
              </w:rPr>
            </w:pPr>
          </w:p>
          <w:p w14:paraId="450879C8"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7134C3F9"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104F0AE4"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436181CD" w14:textId="77777777" w:rsidR="00353CA0" w:rsidRPr="00353CA0" w:rsidRDefault="00353CA0" w:rsidP="00353CA0">
            <w:pPr>
              <w:spacing w:after="0"/>
              <w:ind w:left="720"/>
              <w:rPr>
                <w:rFonts w:eastAsia="Times New Roman"/>
                <w:szCs w:val="24"/>
              </w:rPr>
            </w:pPr>
            <w:r w:rsidRPr="00353CA0">
              <w:rPr>
                <w:rFonts w:eastAsia="Times New Roman"/>
                <w:i/>
                <w:szCs w:val="24"/>
              </w:rPr>
              <w:t>(To be developed by an NCWM Task Group or Subcommittee)</w:t>
            </w:r>
          </w:p>
          <w:p w14:paraId="0EBD7F6D"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16CE25EF" w14:textId="77777777" w:rsidR="00353CA0" w:rsidRPr="00353CA0" w:rsidRDefault="00353CA0" w:rsidP="00353CA0">
            <w:pPr>
              <w:spacing w:after="0"/>
              <w:ind w:left="720"/>
              <w:rPr>
                <w:rFonts w:eastAsia="Times New Roman"/>
                <w:szCs w:val="24"/>
              </w:rPr>
            </w:pPr>
            <w:r w:rsidRPr="00353CA0">
              <w:rPr>
                <w:rFonts w:eastAsia="Times New Roman"/>
                <w:i/>
                <w:szCs w:val="24"/>
              </w:rPr>
              <w:t xml:space="preserve">(To be developed by source of the proposal) </w:t>
            </w:r>
          </w:p>
          <w:p w14:paraId="7D91F12D"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62DE43C1" w14:textId="77777777" w:rsidR="00353CA0" w:rsidRPr="00353CA0" w:rsidRDefault="00353CA0" w:rsidP="00353CA0">
            <w:pPr>
              <w:spacing w:after="0"/>
              <w:ind w:left="990" w:hanging="270"/>
              <w:rPr>
                <w:rFonts w:eastAsia="Times New Roman"/>
                <w:i/>
                <w:szCs w:val="24"/>
              </w:rPr>
            </w:pPr>
            <w:r w:rsidRPr="00353CA0">
              <w:rPr>
                <w:rFonts w:eastAsia="Times New Roman"/>
                <w:i/>
                <w:szCs w:val="24"/>
              </w:rPr>
              <w:t>(In the case of new proposals, do not forward this item to NCWM)</w:t>
            </w:r>
          </w:p>
          <w:p w14:paraId="03DA3F6C"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66BFD2D2" w14:textId="77777777" w:rsidR="00353CA0" w:rsidRPr="00353CA0" w:rsidRDefault="00353CA0" w:rsidP="00353CA0">
            <w:pPr>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6807B228" w14:textId="77777777" w:rsidR="00353CA0" w:rsidRPr="00353CA0" w:rsidRDefault="00353CA0" w:rsidP="00353CA0">
            <w:pPr>
              <w:spacing w:after="0"/>
              <w:ind w:left="360"/>
              <w:rPr>
                <w:rFonts w:eastAsia="Times New Roman"/>
                <w:szCs w:val="24"/>
              </w:rPr>
            </w:pPr>
          </w:p>
        </w:tc>
      </w:tr>
      <w:tr w:rsidR="00353CA0" w:rsidRPr="00353CA0" w14:paraId="55242BDB"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688F1BA3" w14:textId="77777777" w:rsidR="00353CA0" w:rsidRPr="00353CA0" w:rsidRDefault="00353CA0" w:rsidP="00353CA0">
            <w:pPr>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493EC281" w14:textId="77777777" w:rsidTr="00192992">
        <w:tc>
          <w:tcPr>
            <w:tcW w:w="9350" w:type="dxa"/>
            <w:tcBorders>
              <w:top w:val="single" w:sz="4" w:space="0" w:color="auto"/>
              <w:left w:val="single" w:sz="4" w:space="0" w:color="auto"/>
              <w:bottom w:val="single" w:sz="4" w:space="0" w:color="auto"/>
              <w:right w:val="single" w:sz="4" w:space="0" w:color="auto"/>
            </w:tcBorders>
          </w:tcPr>
          <w:p w14:paraId="67B3631F" w14:textId="77777777" w:rsidR="00353CA0" w:rsidRPr="00353CA0" w:rsidRDefault="00353CA0" w:rsidP="00353CA0">
            <w:pPr>
              <w:spacing w:after="0"/>
              <w:rPr>
                <w:rFonts w:eastAsia="Times New Roman"/>
                <w:szCs w:val="24"/>
              </w:rPr>
            </w:pPr>
          </w:p>
          <w:p w14:paraId="67EE920C" w14:textId="77777777" w:rsidR="00353CA0" w:rsidRPr="00353CA0" w:rsidRDefault="00353CA0" w:rsidP="00353CA0">
            <w:pPr>
              <w:spacing w:after="0"/>
              <w:rPr>
                <w:rFonts w:eastAsia="Times New Roman"/>
                <w:szCs w:val="24"/>
              </w:rPr>
            </w:pPr>
          </w:p>
          <w:p w14:paraId="4665C4E1" w14:textId="77777777" w:rsidR="00353CA0" w:rsidRPr="00353CA0" w:rsidRDefault="00353CA0" w:rsidP="00353CA0">
            <w:pPr>
              <w:spacing w:after="0"/>
              <w:rPr>
                <w:rFonts w:eastAsia="Times New Roman"/>
                <w:szCs w:val="24"/>
              </w:rPr>
            </w:pPr>
          </w:p>
        </w:tc>
      </w:tr>
    </w:tbl>
    <w:p w14:paraId="45B71639" w14:textId="77777777" w:rsidR="00CB171E" w:rsidRDefault="00CB171E" w:rsidP="00CB171E">
      <w:pPr>
        <w:spacing w:after="0"/>
      </w:pPr>
    </w:p>
    <w:p w14:paraId="25FF3E8B" w14:textId="48432B31" w:rsidR="00647210" w:rsidRPr="003C355F" w:rsidRDefault="00647210" w:rsidP="00647210">
      <w:pPr>
        <w:pStyle w:val="ItemHeading"/>
        <w:tabs>
          <w:tab w:val="clear" w:pos="900"/>
          <w:tab w:val="left" w:pos="1530"/>
        </w:tabs>
        <w:ind w:left="2160" w:hanging="2160"/>
      </w:pPr>
      <w:bookmarkStart w:id="21" w:name="_Toc143527694"/>
      <w:r>
        <w:t>SCL-24.2</w:t>
      </w:r>
      <w:r w:rsidRPr="003C355F">
        <w:tab/>
      </w:r>
      <w:r w:rsidRPr="003C355F">
        <w:tab/>
      </w:r>
      <w:r w:rsidR="00547C19">
        <w:t>Multiple Sections Regarding Tare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2FB6A30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60DD9554" w14:textId="6FD6AC97" w:rsidR="00353CA0" w:rsidRPr="00353CA0" w:rsidRDefault="000172FE" w:rsidP="00353CA0">
            <w:pPr>
              <w:spacing w:after="120"/>
              <w:jc w:val="center"/>
              <w:rPr>
                <w:rFonts w:eastAsia="Times New Roman"/>
                <w:b/>
                <w:szCs w:val="24"/>
              </w:rPr>
            </w:pPr>
            <w:r>
              <w:rPr>
                <w:rFonts w:eastAsia="Times New Roman"/>
                <w:b/>
                <w:szCs w:val="24"/>
              </w:rPr>
              <w:t>SCL-24.2</w:t>
            </w:r>
          </w:p>
        </w:tc>
      </w:tr>
      <w:tr w:rsidR="00353CA0" w:rsidRPr="00353CA0" w14:paraId="7EFE7A8D" w14:textId="77777777" w:rsidTr="00192992">
        <w:tc>
          <w:tcPr>
            <w:tcW w:w="9350" w:type="dxa"/>
            <w:tcBorders>
              <w:top w:val="single" w:sz="24" w:space="0" w:color="auto"/>
              <w:left w:val="single" w:sz="4" w:space="0" w:color="auto"/>
              <w:bottom w:val="single" w:sz="4" w:space="0" w:color="auto"/>
              <w:right w:val="single" w:sz="4" w:space="0" w:color="auto"/>
            </w:tcBorders>
          </w:tcPr>
          <w:p w14:paraId="0C998337" w14:textId="77777777" w:rsidR="00353CA0" w:rsidRPr="00353CA0" w:rsidRDefault="00353CA0" w:rsidP="00353CA0">
            <w:pPr>
              <w:spacing w:after="0"/>
              <w:rPr>
                <w:rFonts w:eastAsia="Times New Roman"/>
                <w:b/>
                <w:szCs w:val="24"/>
              </w:rPr>
            </w:pPr>
            <w:r w:rsidRPr="00353CA0">
              <w:rPr>
                <w:rFonts w:eastAsia="Times New Roman"/>
                <w:b/>
                <w:szCs w:val="24"/>
              </w:rPr>
              <w:t>Regional recommendation to NCWM on item status:</w:t>
            </w:r>
          </w:p>
          <w:p w14:paraId="784B7A84" w14:textId="77777777" w:rsidR="00353CA0" w:rsidRPr="00353CA0" w:rsidRDefault="00353CA0" w:rsidP="00353CA0">
            <w:pPr>
              <w:spacing w:after="0"/>
              <w:rPr>
                <w:rFonts w:eastAsia="Times New Roman"/>
                <w:szCs w:val="24"/>
              </w:rPr>
            </w:pPr>
          </w:p>
          <w:p w14:paraId="02A81A3C"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06032214"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413F082C"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2A296594" w14:textId="77777777" w:rsidR="00353CA0" w:rsidRPr="00353CA0" w:rsidRDefault="00353CA0" w:rsidP="00353CA0">
            <w:pPr>
              <w:spacing w:after="0"/>
              <w:ind w:left="720"/>
              <w:rPr>
                <w:rFonts w:eastAsia="Times New Roman"/>
                <w:szCs w:val="24"/>
              </w:rPr>
            </w:pPr>
            <w:r w:rsidRPr="00353CA0">
              <w:rPr>
                <w:rFonts w:eastAsia="Times New Roman"/>
                <w:i/>
                <w:szCs w:val="24"/>
              </w:rPr>
              <w:t>(To be developed by an NCWM Task Group or Subcommittee)</w:t>
            </w:r>
          </w:p>
          <w:p w14:paraId="112AB503"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2E6EEA31" w14:textId="77777777" w:rsidR="00353CA0" w:rsidRPr="00353CA0" w:rsidRDefault="00353CA0" w:rsidP="00353CA0">
            <w:pPr>
              <w:spacing w:after="0"/>
              <w:ind w:left="720"/>
              <w:rPr>
                <w:rFonts w:eastAsia="Times New Roman"/>
                <w:szCs w:val="24"/>
              </w:rPr>
            </w:pPr>
            <w:r w:rsidRPr="00353CA0">
              <w:rPr>
                <w:rFonts w:eastAsia="Times New Roman"/>
                <w:i/>
                <w:szCs w:val="24"/>
              </w:rPr>
              <w:t xml:space="preserve">(To be developed by source of the proposal) </w:t>
            </w:r>
          </w:p>
          <w:p w14:paraId="701B12D2"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59ADE4E5" w14:textId="77777777" w:rsidR="00353CA0" w:rsidRPr="00353CA0" w:rsidRDefault="00353CA0" w:rsidP="00353CA0">
            <w:pPr>
              <w:spacing w:after="0"/>
              <w:ind w:left="990" w:hanging="270"/>
              <w:rPr>
                <w:rFonts w:eastAsia="Times New Roman"/>
                <w:i/>
                <w:szCs w:val="24"/>
              </w:rPr>
            </w:pPr>
            <w:r w:rsidRPr="00353CA0">
              <w:rPr>
                <w:rFonts w:eastAsia="Times New Roman"/>
                <w:i/>
                <w:szCs w:val="24"/>
              </w:rPr>
              <w:t>(In the case of new proposals, do not forward this item to NCWM)</w:t>
            </w:r>
          </w:p>
          <w:p w14:paraId="7F330087"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62A824FD" w14:textId="77777777" w:rsidR="00353CA0" w:rsidRPr="00353CA0" w:rsidRDefault="00353CA0" w:rsidP="00353CA0">
            <w:pPr>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679FF81E" w14:textId="77777777" w:rsidR="00353CA0" w:rsidRPr="00353CA0" w:rsidRDefault="00353CA0" w:rsidP="00353CA0">
            <w:pPr>
              <w:spacing w:after="0"/>
              <w:ind w:left="360"/>
              <w:rPr>
                <w:rFonts w:eastAsia="Times New Roman"/>
                <w:szCs w:val="24"/>
              </w:rPr>
            </w:pPr>
          </w:p>
        </w:tc>
      </w:tr>
      <w:tr w:rsidR="00353CA0" w:rsidRPr="00353CA0" w14:paraId="20E1CA06"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03B06365" w14:textId="77777777" w:rsidR="00353CA0" w:rsidRPr="00353CA0" w:rsidRDefault="00353CA0" w:rsidP="00353CA0">
            <w:pPr>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7EB5C64D" w14:textId="77777777" w:rsidTr="00192992">
        <w:tc>
          <w:tcPr>
            <w:tcW w:w="9350" w:type="dxa"/>
            <w:tcBorders>
              <w:top w:val="single" w:sz="4" w:space="0" w:color="auto"/>
              <w:left w:val="single" w:sz="4" w:space="0" w:color="auto"/>
              <w:bottom w:val="single" w:sz="4" w:space="0" w:color="auto"/>
              <w:right w:val="single" w:sz="4" w:space="0" w:color="auto"/>
            </w:tcBorders>
          </w:tcPr>
          <w:p w14:paraId="111001BA" w14:textId="77777777" w:rsidR="00353CA0" w:rsidRPr="00353CA0" w:rsidRDefault="00353CA0" w:rsidP="00353CA0">
            <w:pPr>
              <w:spacing w:after="0"/>
              <w:rPr>
                <w:rFonts w:eastAsia="Times New Roman"/>
                <w:szCs w:val="24"/>
              </w:rPr>
            </w:pPr>
          </w:p>
          <w:p w14:paraId="2E1F033B" w14:textId="77777777" w:rsidR="00353CA0" w:rsidRPr="00353CA0" w:rsidRDefault="00353CA0" w:rsidP="00353CA0">
            <w:pPr>
              <w:spacing w:after="0"/>
              <w:rPr>
                <w:rFonts w:eastAsia="Times New Roman"/>
                <w:szCs w:val="24"/>
              </w:rPr>
            </w:pPr>
          </w:p>
          <w:p w14:paraId="76CBACEC" w14:textId="77777777" w:rsidR="00353CA0" w:rsidRPr="00353CA0" w:rsidRDefault="00353CA0" w:rsidP="00353CA0">
            <w:pPr>
              <w:spacing w:after="0"/>
              <w:rPr>
                <w:rFonts w:eastAsia="Times New Roman"/>
                <w:szCs w:val="24"/>
              </w:rPr>
            </w:pPr>
          </w:p>
        </w:tc>
      </w:tr>
    </w:tbl>
    <w:p w14:paraId="4C0F1311" w14:textId="77777777" w:rsidR="00647210" w:rsidRDefault="00647210" w:rsidP="00647210">
      <w:pPr>
        <w:spacing w:after="0"/>
      </w:pPr>
    </w:p>
    <w:p w14:paraId="62C11240" w14:textId="6BC3D623" w:rsidR="00117BBF" w:rsidRDefault="00117BBF" w:rsidP="00117BBF">
      <w:pPr>
        <w:pStyle w:val="ItemHeading"/>
        <w:tabs>
          <w:tab w:val="clear" w:pos="900"/>
          <w:tab w:val="left" w:pos="1710"/>
        </w:tabs>
        <w:ind w:left="2160" w:hanging="2160"/>
        <w:rPr>
          <w:u w:val="single"/>
        </w:rPr>
      </w:pPr>
      <w:bookmarkStart w:id="22" w:name="_Toc143527695"/>
      <w:r w:rsidRPr="00A02895">
        <w:lastRenderedPageBreak/>
        <w:t>SCL-22.3</w:t>
      </w:r>
      <w:r w:rsidRPr="00A02895">
        <w:tab/>
      </w:r>
      <w:r>
        <w:t>D</w:t>
      </w:r>
      <w:r w:rsidRPr="00A02895">
        <w:tab/>
        <w:t>UR.3.3. Single-Draft Vehicle Weighing., and UR.3.4.</w:t>
      </w:r>
      <w:r w:rsidRPr="00A02895">
        <w:rPr>
          <w:u w:val="single"/>
        </w:rPr>
        <w:t xml:space="preserve"> Axle and Axle Group Weight Values.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53A26955"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4DEB36CE" w14:textId="4B2137DC" w:rsidR="00353CA0" w:rsidRPr="00353CA0" w:rsidRDefault="000172FE" w:rsidP="00353CA0">
            <w:pPr>
              <w:spacing w:after="120"/>
              <w:jc w:val="center"/>
              <w:rPr>
                <w:rFonts w:eastAsia="Times New Roman"/>
                <w:b/>
                <w:szCs w:val="24"/>
              </w:rPr>
            </w:pPr>
            <w:r>
              <w:rPr>
                <w:rFonts w:eastAsia="Times New Roman"/>
                <w:b/>
                <w:szCs w:val="24"/>
              </w:rPr>
              <w:t>SCL-22.3</w:t>
            </w:r>
          </w:p>
        </w:tc>
      </w:tr>
      <w:tr w:rsidR="00353CA0" w:rsidRPr="00353CA0" w14:paraId="5A85A0A9" w14:textId="77777777" w:rsidTr="00192992">
        <w:tc>
          <w:tcPr>
            <w:tcW w:w="9350" w:type="dxa"/>
            <w:tcBorders>
              <w:top w:val="single" w:sz="24" w:space="0" w:color="auto"/>
              <w:left w:val="single" w:sz="4" w:space="0" w:color="auto"/>
              <w:bottom w:val="single" w:sz="4" w:space="0" w:color="auto"/>
              <w:right w:val="single" w:sz="4" w:space="0" w:color="auto"/>
            </w:tcBorders>
          </w:tcPr>
          <w:p w14:paraId="18AFBC52" w14:textId="77777777" w:rsidR="00353CA0" w:rsidRPr="00353CA0" w:rsidRDefault="00353CA0" w:rsidP="00353CA0">
            <w:pPr>
              <w:spacing w:after="0"/>
              <w:rPr>
                <w:rFonts w:eastAsia="Times New Roman"/>
                <w:b/>
                <w:szCs w:val="24"/>
              </w:rPr>
            </w:pPr>
            <w:r w:rsidRPr="00353CA0">
              <w:rPr>
                <w:rFonts w:eastAsia="Times New Roman"/>
                <w:b/>
                <w:szCs w:val="24"/>
              </w:rPr>
              <w:t>Regional recommendation to NCWM on item status:</w:t>
            </w:r>
          </w:p>
          <w:p w14:paraId="28D8527C" w14:textId="77777777" w:rsidR="00353CA0" w:rsidRPr="00353CA0" w:rsidRDefault="00353CA0" w:rsidP="00353CA0">
            <w:pPr>
              <w:spacing w:after="0"/>
              <w:rPr>
                <w:rFonts w:eastAsia="Times New Roman"/>
                <w:szCs w:val="24"/>
              </w:rPr>
            </w:pPr>
          </w:p>
          <w:p w14:paraId="0DE11779"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0F4E27D2"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445A52DE"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5829F599" w14:textId="77777777" w:rsidR="00353CA0" w:rsidRPr="00353CA0" w:rsidRDefault="00353CA0" w:rsidP="00353CA0">
            <w:pPr>
              <w:spacing w:after="0"/>
              <w:ind w:left="720"/>
              <w:rPr>
                <w:rFonts w:eastAsia="Times New Roman"/>
                <w:szCs w:val="24"/>
              </w:rPr>
            </w:pPr>
            <w:r w:rsidRPr="00353CA0">
              <w:rPr>
                <w:rFonts w:eastAsia="Times New Roman"/>
                <w:i/>
                <w:szCs w:val="24"/>
              </w:rPr>
              <w:t>(To be developed by an NCWM Task Group or Subcommittee)</w:t>
            </w:r>
          </w:p>
          <w:p w14:paraId="5CBFDE73"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47C5C2E2" w14:textId="77777777" w:rsidR="00353CA0" w:rsidRPr="00353CA0" w:rsidRDefault="00353CA0" w:rsidP="00353CA0">
            <w:pPr>
              <w:spacing w:after="0"/>
              <w:ind w:left="720"/>
              <w:rPr>
                <w:rFonts w:eastAsia="Times New Roman"/>
                <w:szCs w:val="24"/>
              </w:rPr>
            </w:pPr>
            <w:r w:rsidRPr="00353CA0">
              <w:rPr>
                <w:rFonts w:eastAsia="Times New Roman"/>
                <w:i/>
                <w:szCs w:val="24"/>
              </w:rPr>
              <w:t xml:space="preserve">(To be developed by source of the proposal) </w:t>
            </w:r>
          </w:p>
          <w:p w14:paraId="08D24188"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0528A154" w14:textId="77777777" w:rsidR="00353CA0" w:rsidRPr="00353CA0" w:rsidRDefault="00353CA0" w:rsidP="00353CA0">
            <w:pPr>
              <w:spacing w:after="0"/>
              <w:ind w:left="990" w:hanging="270"/>
              <w:rPr>
                <w:rFonts w:eastAsia="Times New Roman"/>
                <w:i/>
                <w:szCs w:val="24"/>
              </w:rPr>
            </w:pPr>
            <w:r w:rsidRPr="00353CA0">
              <w:rPr>
                <w:rFonts w:eastAsia="Times New Roman"/>
                <w:i/>
                <w:szCs w:val="24"/>
              </w:rPr>
              <w:t>(In the case of new proposals, do not forward this item to NCWM)</w:t>
            </w:r>
          </w:p>
          <w:p w14:paraId="02C1B95C"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5CF0A77B" w14:textId="77777777" w:rsidR="00353CA0" w:rsidRPr="00353CA0" w:rsidRDefault="00353CA0" w:rsidP="00353CA0">
            <w:pPr>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17560835" w14:textId="77777777" w:rsidR="00353CA0" w:rsidRPr="00353CA0" w:rsidRDefault="00353CA0" w:rsidP="00353CA0">
            <w:pPr>
              <w:spacing w:after="0"/>
              <w:ind w:left="360"/>
              <w:rPr>
                <w:rFonts w:eastAsia="Times New Roman"/>
                <w:szCs w:val="24"/>
              </w:rPr>
            </w:pPr>
          </w:p>
        </w:tc>
      </w:tr>
      <w:tr w:rsidR="00353CA0" w:rsidRPr="00353CA0" w14:paraId="3D45219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3715134" w14:textId="77777777" w:rsidR="00353CA0" w:rsidRPr="00353CA0" w:rsidRDefault="00353CA0" w:rsidP="00353CA0">
            <w:pPr>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09EC5F99" w14:textId="77777777" w:rsidTr="00192992">
        <w:tc>
          <w:tcPr>
            <w:tcW w:w="9350" w:type="dxa"/>
            <w:tcBorders>
              <w:top w:val="single" w:sz="4" w:space="0" w:color="auto"/>
              <w:left w:val="single" w:sz="4" w:space="0" w:color="auto"/>
              <w:bottom w:val="single" w:sz="4" w:space="0" w:color="auto"/>
              <w:right w:val="single" w:sz="4" w:space="0" w:color="auto"/>
            </w:tcBorders>
          </w:tcPr>
          <w:p w14:paraId="20276931" w14:textId="77777777" w:rsidR="00353CA0" w:rsidRPr="00353CA0" w:rsidRDefault="00353CA0" w:rsidP="00353CA0">
            <w:pPr>
              <w:spacing w:after="0"/>
              <w:rPr>
                <w:rFonts w:eastAsia="Times New Roman"/>
                <w:szCs w:val="24"/>
              </w:rPr>
            </w:pPr>
          </w:p>
          <w:p w14:paraId="22FB3885" w14:textId="77777777" w:rsidR="00353CA0" w:rsidRPr="00353CA0" w:rsidRDefault="00353CA0" w:rsidP="00353CA0">
            <w:pPr>
              <w:spacing w:after="0"/>
              <w:rPr>
                <w:rFonts w:eastAsia="Times New Roman"/>
                <w:szCs w:val="24"/>
              </w:rPr>
            </w:pPr>
          </w:p>
          <w:p w14:paraId="1AB4173E" w14:textId="77777777" w:rsidR="00353CA0" w:rsidRPr="00353CA0" w:rsidRDefault="00353CA0" w:rsidP="00353CA0">
            <w:pPr>
              <w:spacing w:after="0"/>
              <w:rPr>
                <w:rFonts w:eastAsia="Times New Roman"/>
                <w:szCs w:val="24"/>
              </w:rPr>
            </w:pPr>
          </w:p>
        </w:tc>
      </w:tr>
    </w:tbl>
    <w:p w14:paraId="71DD9A08" w14:textId="0C620E3D" w:rsidR="00F52BF6" w:rsidRDefault="00F52BF6" w:rsidP="00F52BF6">
      <w:pPr>
        <w:pStyle w:val="ItemHeading"/>
        <w:tabs>
          <w:tab w:val="clear" w:pos="900"/>
          <w:tab w:val="left" w:pos="1710"/>
        </w:tabs>
        <w:ind w:left="2160" w:hanging="2167"/>
      </w:pPr>
      <w:bookmarkStart w:id="23" w:name="_Toc143527696"/>
      <w:bookmarkStart w:id="24" w:name="_Hlk523509704"/>
      <w:r>
        <w:t>SCL-23.3</w:t>
      </w:r>
      <w:r w:rsidRPr="003C355F">
        <w:t xml:space="preserve"> </w:t>
      </w:r>
      <w:r w:rsidRPr="003C355F">
        <w:tab/>
      </w:r>
      <w:r w:rsidR="00C67DA6">
        <w:t>A</w:t>
      </w:r>
      <w:r w:rsidRPr="003C355F">
        <w:tab/>
      </w:r>
      <w:r w:rsidR="00156BA2">
        <w:t xml:space="preserve">Verification Scale Division e: Multiple Sections Including, </w:t>
      </w:r>
      <w:r>
        <w:t>T.N.1.3.</w:t>
      </w:r>
      <w:r w:rsidR="00156BA2">
        <w:t>,</w:t>
      </w:r>
      <w:r>
        <w:t xml:space="preserve"> Table 6.</w:t>
      </w:r>
      <w:r w:rsidR="00156BA2">
        <w:t xml:space="preserve">, </w:t>
      </w:r>
      <w:r>
        <w:t>T.N.3.</w:t>
      </w:r>
      <w:r w:rsidR="00156BA2">
        <w:t xml:space="preserve">, </w:t>
      </w:r>
      <w:r>
        <w:t>T.N.4., T.N.6.</w:t>
      </w:r>
      <w:r w:rsidR="00156BA2">
        <w:t xml:space="preserve">, </w:t>
      </w:r>
      <w:r>
        <w:t>T.N.8.</w:t>
      </w:r>
      <w:r w:rsidR="00156BA2">
        <w:t xml:space="preserve">, </w:t>
      </w:r>
      <w:r>
        <w:t>T.N.9., T.1.</w:t>
      </w:r>
      <w:r w:rsidR="00156BA2">
        <w:t xml:space="preserve">, </w:t>
      </w:r>
      <w:r>
        <w:t>T.2.</w:t>
      </w:r>
      <w:r w:rsidR="00156BA2">
        <w:t>,</w:t>
      </w:r>
      <w:r>
        <w:t xml:space="preserve"> S.1.1.1.,</w:t>
      </w:r>
      <w:r w:rsidR="00156BA2">
        <w:t xml:space="preserve"> T.N.1.2., Table S.6.3.a., Table S.3.6.b., Appendix D, S.1.2.2., Table 3., S.5.4., UR.3., Table 8.</w:t>
      </w:r>
      <w:bookmarkEnd w:id="23"/>
      <w:r w:rsidR="00156BA2">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106CBA88"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764C881" w14:textId="2ED5117A" w:rsidR="00353CA0" w:rsidRPr="00353CA0" w:rsidRDefault="000172FE" w:rsidP="00353CA0">
            <w:pPr>
              <w:spacing w:after="120"/>
              <w:jc w:val="center"/>
              <w:rPr>
                <w:rFonts w:eastAsia="Times New Roman"/>
                <w:b/>
                <w:szCs w:val="24"/>
              </w:rPr>
            </w:pPr>
            <w:r>
              <w:rPr>
                <w:rFonts w:eastAsia="Times New Roman"/>
                <w:b/>
                <w:szCs w:val="24"/>
              </w:rPr>
              <w:t>SCL-23.3</w:t>
            </w:r>
          </w:p>
        </w:tc>
      </w:tr>
      <w:tr w:rsidR="00353CA0" w:rsidRPr="00353CA0" w14:paraId="1344DFF5" w14:textId="77777777" w:rsidTr="00192992">
        <w:tc>
          <w:tcPr>
            <w:tcW w:w="9350" w:type="dxa"/>
            <w:tcBorders>
              <w:top w:val="single" w:sz="24" w:space="0" w:color="auto"/>
              <w:left w:val="single" w:sz="4" w:space="0" w:color="auto"/>
              <w:bottom w:val="single" w:sz="4" w:space="0" w:color="auto"/>
              <w:right w:val="single" w:sz="4" w:space="0" w:color="auto"/>
            </w:tcBorders>
          </w:tcPr>
          <w:p w14:paraId="363CB9B1" w14:textId="77777777" w:rsidR="00353CA0" w:rsidRPr="00353CA0" w:rsidRDefault="00353CA0" w:rsidP="00353CA0">
            <w:pPr>
              <w:spacing w:after="0"/>
              <w:rPr>
                <w:rFonts w:eastAsia="Times New Roman"/>
                <w:b/>
                <w:szCs w:val="24"/>
              </w:rPr>
            </w:pPr>
            <w:r w:rsidRPr="00353CA0">
              <w:rPr>
                <w:rFonts w:eastAsia="Times New Roman"/>
                <w:b/>
                <w:szCs w:val="24"/>
              </w:rPr>
              <w:t>Regional recommendation to NCWM on item status:</w:t>
            </w:r>
          </w:p>
          <w:p w14:paraId="52AC7D50" w14:textId="77777777" w:rsidR="00353CA0" w:rsidRPr="00353CA0" w:rsidRDefault="00353CA0" w:rsidP="00353CA0">
            <w:pPr>
              <w:spacing w:after="0"/>
              <w:rPr>
                <w:rFonts w:eastAsia="Times New Roman"/>
                <w:szCs w:val="24"/>
              </w:rPr>
            </w:pPr>
          </w:p>
          <w:p w14:paraId="3E5040E0"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27D5B0E9"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4BF0A4D3"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69F005BF" w14:textId="77777777" w:rsidR="00353CA0" w:rsidRPr="00353CA0" w:rsidRDefault="00353CA0" w:rsidP="00353CA0">
            <w:pPr>
              <w:spacing w:after="0"/>
              <w:ind w:left="720"/>
              <w:rPr>
                <w:rFonts w:eastAsia="Times New Roman"/>
                <w:szCs w:val="24"/>
              </w:rPr>
            </w:pPr>
            <w:r w:rsidRPr="00353CA0">
              <w:rPr>
                <w:rFonts w:eastAsia="Times New Roman"/>
                <w:i/>
                <w:szCs w:val="24"/>
              </w:rPr>
              <w:t>(To be developed by an NCWM Task Group or Subcommittee)</w:t>
            </w:r>
          </w:p>
          <w:p w14:paraId="38195B16"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3FC827A5" w14:textId="77777777" w:rsidR="00353CA0" w:rsidRPr="00353CA0" w:rsidRDefault="00353CA0" w:rsidP="00353CA0">
            <w:pPr>
              <w:spacing w:after="0"/>
              <w:ind w:left="720"/>
              <w:rPr>
                <w:rFonts w:eastAsia="Times New Roman"/>
                <w:szCs w:val="24"/>
              </w:rPr>
            </w:pPr>
            <w:r w:rsidRPr="00353CA0">
              <w:rPr>
                <w:rFonts w:eastAsia="Times New Roman"/>
                <w:i/>
                <w:szCs w:val="24"/>
              </w:rPr>
              <w:t xml:space="preserve">(To be developed by source of the proposal) </w:t>
            </w:r>
          </w:p>
          <w:p w14:paraId="7CA5B7CF"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7C897C5A" w14:textId="77777777" w:rsidR="00353CA0" w:rsidRPr="00353CA0" w:rsidRDefault="00353CA0" w:rsidP="00353CA0">
            <w:pPr>
              <w:spacing w:after="0"/>
              <w:ind w:left="990" w:hanging="270"/>
              <w:rPr>
                <w:rFonts w:eastAsia="Times New Roman"/>
                <w:i/>
                <w:szCs w:val="24"/>
              </w:rPr>
            </w:pPr>
            <w:r w:rsidRPr="00353CA0">
              <w:rPr>
                <w:rFonts w:eastAsia="Times New Roman"/>
                <w:i/>
                <w:szCs w:val="24"/>
              </w:rPr>
              <w:t>(In the case of new proposals, do not forward this item to NCWM)</w:t>
            </w:r>
          </w:p>
          <w:p w14:paraId="41748826"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2E97F299" w14:textId="77777777" w:rsidR="00353CA0" w:rsidRPr="00353CA0" w:rsidRDefault="00353CA0" w:rsidP="00353CA0">
            <w:pPr>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1642946D" w14:textId="77777777" w:rsidR="00353CA0" w:rsidRPr="00353CA0" w:rsidRDefault="00353CA0" w:rsidP="00353CA0">
            <w:pPr>
              <w:spacing w:after="0"/>
              <w:ind w:left="360"/>
              <w:rPr>
                <w:rFonts w:eastAsia="Times New Roman"/>
                <w:szCs w:val="24"/>
              </w:rPr>
            </w:pPr>
          </w:p>
        </w:tc>
      </w:tr>
      <w:tr w:rsidR="00353CA0" w:rsidRPr="00353CA0" w14:paraId="2FBDD43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45082FC" w14:textId="77777777" w:rsidR="00353CA0" w:rsidRPr="00353CA0" w:rsidRDefault="00353CA0" w:rsidP="00353CA0">
            <w:pPr>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4B76A606" w14:textId="77777777" w:rsidTr="00192992">
        <w:tc>
          <w:tcPr>
            <w:tcW w:w="9350" w:type="dxa"/>
            <w:tcBorders>
              <w:top w:val="single" w:sz="4" w:space="0" w:color="auto"/>
              <w:left w:val="single" w:sz="4" w:space="0" w:color="auto"/>
              <w:bottom w:val="single" w:sz="4" w:space="0" w:color="auto"/>
              <w:right w:val="single" w:sz="4" w:space="0" w:color="auto"/>
            </w:tcBorders>
          </w:tcPr>
          <w:p w14:paraId="20840812" w14:textId="77777777" w:rsidR="00353CA0" w:rsidRPr="00353CA0" w:rsidRDefault="00353CA0" w:rsidP="00353CA0">
            <w:pPr>
              <w:spacing w:after="0"/>
              <w:rPr>
                <w:rFonts w:eastAsia="Times New Roman"/>
                <w:szCs w:val="24"/>
              </w:rPr>
            </w:pPr>
          </w:p>
          <w:p w14:paraId="04366133" w14:textId="77777777" w:rsidR="00353CA0" w:rsidRPr="00353CA0" w:rsidRDefault="00353CA0" w:rsidP="00353CA0">
            <w:pPr>
              <w:spacing w:after="0"/>
              <w:rPr>
                <w:rFonts w:eastAsia="Times New Roman"/>
                <w:szCs w:val="24"/>
              </w:rPr>
            </w:pPr>
          </w:p>
          <w:p w14:paraId="353BA005" w14:textId="77777777" w:rsidR="00353CA0" w:rsidRPr="00353CA0" w:rsidRDefault="00353CA0" w:rsidP="00353CA0">
            <w:pPr>
              <w:spacing w:after="0"/>
              <w:rPr>
                <w:rFonts w:eastAsia="Times New Roman"/>
                <w:szCs w:val="24"/>
              </w:rPr>
            </w:pPr>
          </w:p>
        </w:tc>
      </w:tr>
    </w:tbl>
    <w:p w14:paraId="22D52C1B" w14:textId="64AD0FDD" w:rsidR="00BD19A1" w:rsidRDefault="00BD19A1" w:rsidP="00FE2E49">
      <w:pPr>
        <w:pStyle w:val="ItemHeading"/>
        <w:keepNext/>
        <w:keepLines/>
        <w:tabs>
          <w:tab w:val="clear" w:pos="900"/>
          <w:tab w:val="left" w:pos="1710"/>
        </w:tabs>
        <w:ind w:left="2160" w:hanging="2160"/>
        <w:rPr>
          <w:u w:val="single"/>
        </w:rPr>
      </w:pPr>
      <w:bookmarkStart w:id="25" w:name="_Toc143527697"/>
      <w:r w:rsidRPr="00CC6830">
        <w:lastRenderedPageBreak/>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UR.1.X. Cannabis</w:t>
      </w:r>
      <w:bookmarkEnd w:id="25"/>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47C8424C"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2349F18" w14:textId="7F8A8E42" w:rsidR="00353CA0" w:rsidRPr="00353CA0" w:rsidRDefault="000172FE" w:rsidP="00FE2E49">
            <w:pPr>
              <w:keepNext/>
              <w:keepLines/>
              <w:spacing w:after="120"/>
              <w:jc w:val="center"/>
              <w:rPr>
                <w:rFonts w:eastAsia="Times New Roman"/>
                <w:b/>
                <w:szCs w:val="24"/>
              </w:rPr>
            </w:pPr>
            <w:r>
              <w:rPr>
                <w:rFonts w:eastAsia="Times New Roman"/>
                <w:b/>
                <w:szCs w:val="24"/>
              </w:rPr>
              <w:t>SCL-22.2</w:t>
            </w:r>
          </w:p>
        </w:tc>
      </w:tr>
      <w:tr w:rsidR="00353CA0" w:rsidRPr="00353CA0" w14:paraId="675E650F" w14:textId="77777777" w:rsidTr="00192992">
        <w:tc>
          <w:tcPr>
            <w:tcW w:w="9350" w:type="dxa"/>
            <w:tcBorders>
              <w:top w:val="single" w:sz="24" w:space="0" w:color="auto"/>
              <w:left w:val="single" w:sz="4" w:space="0" w:color="auto"/>
              <w:bottom w:val="single" w:sz="4" w:space="0" w:color="auto"/>
              <w:right w:val="single" w:sz="4" w:space="0" w:color="auto"/>
            </w:tcBorders>
          </w:tcPr>
          <w:p w14:paraId="68A42AA2" w14:textId="77777777" w:rsidR="00353CA0" w:rsidRPr="00353CA0" w:rsidRDefault="00353CA0" w:rsidP="00FE2E49">
            <w:pPr>
              <w:keepNext/>
              <w:keepLines/>
              <w:spacing w:after="0"/>
              <w:rPr>
                <w:rFonts w:eastAsia="Times New Roman"/>
                <w:b/>
                <w:szCs w:val="24"/>
              </w:rPr>
            </w:pPr>
            <w:r w:rsidRPr="00353CA0">
              <w:rPr>
                <w:rFonts w:eastAsia="Times New Roman"/>
                <w:b/>
                <w:szCs w:val="24"/>
              </w:rPr>
              <w:t>Regional recommendation to NCWM on item status:</w:t>
            </w:r>
          </w:p>
          <w:p w14:paraId="7D047E8F" w14:textId="77777777" w:rsidR="00353CA0" w:rsidRPr="00353CA0" w:rsidRDefault="00353CA0" w:rsidP="00FE2E49">
            <w:pPr>
              <w:keepNext/>
              <w:keepLines/>
              <w:spacing w:after="0"/>
              <w:rPr>
                <w:rFonts w:eastAsia="Times New Roman"/>
                <w:szCs w:val="24"/>
              </w:rPr>
            </w:pPr>
          </w:p>
          <w:p w14:paraId="307841DD" w14:textId="77777777" w:rsidR="00353CA0" w:rsidRPr="00353CA0" w:rsidRDefault="00353CA0" w:rsidP="00FE2E49">
            <w:pPr>
              <w:keepNext/>
              <w:keepLines/>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10839654" w14:textId="77777777" w:rsidR="00353CA0" w:rsidRPr="00353CA0" w:rsidRDefault="00353CA0" w:rsidP="00FE2E49">
            <w:pPr>
              <w:keepNext/>
              <w:keepLines/>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232ABC3B" w14:textId="77777777" w:rsidR="00353CA0" w:rsidRPr="00353CA0" w:rsidRDefault="00353CA0" w:rsidP="00FE2E49">
            <w:pPr>
              <w:keepNext/>
              <w:keepLines/>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3983E140" w14:textId="77777777" w:rsidR="00353CA0" w:rsidRPr="00353CA0" w:rsidRDefault="00353CA0" w:rsidP="00FE2E49">
            <w:pPr>
              <w:keepNext/>
              <w:keepLines/>
              <w:spacing w:after="0"/>
              <w:ind w:left="720"/>
              <w:rPr>
                <w:rFonts w:eastAsia="Times New Roman"/>
                <w:szCs w:val="24"/>
              </w:rPr>
            </w:pPr>
            <w:r w:rsidRPr="00353CA0">
              <w:rPr>
                <w:rFonts w:eastAsia="Times New Roman"/>
                <w:i/>
                <w:szCs w:val="24"/>
              </w:rPr>
              <w:t>(To be developed by an NCWM Task Group or Subcommittee)</w:t>
            </w:r>
          </w:p>
          <w:p w14:paraId="13652879" w14:textId="77777777" w:rsidR="00353CA0" w:rsidRPr="00353CA0" w:rsidRDefault="00353CA0" w:rsidP="00FE2E49">
            <w:pPr>
              <w:keepNext/>
              <w:keepLines/>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2ACE63BA" w14:textId="77777777" w:rsidR="00353CA0" w:rsidRPr="00353CA0" w:rsidRDefault="00353CA0" w:rsidP="00FE2E49">
            <w:pPr>
              <w:keepNext/>
              <w:keepLines/>
              <w:spacing w:after="0"/>
              <w:ind w:left="720"/>
              <w:rPr>
                <w:rFonts w:eastAsia="Times New Roman"/>
                <w:szCs w:val="24"/>
              </w:rPr>
            </w:pPr>
            <w:r w:rsidRPr="00353CA0">
              <w:rPr>
                <w:rFonts w:eastAsia="Times New Roman"/>
                <w:i/>
                <w:szCs w:val="24"/>
              </w:rPr>
              <w:t xml:space="preserve">(To be developed by source of the proposal) </w:t>
            </w:r>
          </w:p>
          <w:p w14:paraId="4AD4B222" w14:textId="77777777" w:rsidR="00353CA0" w:rsidRPr="00353CA0" w:rsidRDefault="00353CA0" w:rsidP="00FE2E49">
            <w:pPr>
              <w:keepNext/>
              <w:keepLines/>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5CC29AD7" w14:textId="77777777" w:rsidR="00353CA0" w:rsidRPr="00353CA0" w:rsidRDefault="00353CA0" w:rsidP="00FE2E49">
            <w:pPr>
              <w:keepNext/>
              <w:keepLines/>
              <w:spacing w:after="0"/>
              <w:ind w:left="990" w:hanging="270"/>
              <w:rPr>
                <w:rFonts w:eastAsia="Times New Roman"/>
                <w:i/>
                <w:szCs w:val="24"/>
              </w:rPr>
            </w:pPr>
            <w:r w:rsidRPr="00353CA0">
              <w:rPr>
                <w:rFonts w:eastAsia="Times New Roman"/>
                <w:i/>
                <w:szCs w:val="24"/>
              </w:rPr>
              <w:t>(In the case of new proposals, do not forward this item to NCWM)</w:t>
            </w:r>
          </w:p>
          <w:p w14:paraId="30BB17CD" w14:textId="77777777" w:rsidR="00353CA0" w:rsidRPr="00353CA0" w:rsidRDefault="00353CA0" w:rsidP="00FE2E49">
            <w:pPr>
              <w:keepNext/>
              <w:keepLines/>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148CEA51" w14:textId="77777777" w:rsidR="00353CA0" w:rsidRPr="00353CA0" w:rsidRDefault="00353CA0" w:rsidP="00FE2E49">
            <w:pPr>
              <w:keepNext/>
              <w:keepLines/>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7D05ECE7" w14:textId="77777777" w:rsidR="00353CA0" w:rsidRPr="00353CA0" w:rsidRDefault="00353CA0" w:rsidP="00FE2E49">
            <w:pPr>
              <w:keepNext/>
              <w:keepLines/>
              <w:spacing w:after="0"/>
              <w:ind w:left="360"/>
              <w:rPr>
                <w:rFonts w:eastAsia="Times New Roman"/>
                <w:szCs w:val="24"/>
              </w:rPr>
            </w:pPr>
          </w:p>
        </w:tc>
      </w:tr>
      <w:tr w:rsidR="00353CA0" w:rsidRPr="00353CA0" w14:paraId="63BE761F"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2B57D621" w14:textId="77777777" w:rsidR="00353CA0" w:rsidRPr="00353CA0" w:rsidRDefault="00353CA0" w:rsidP="00FE2E49">
            <w:pPr>
              <w:keepNext/>
              <w:keepLines/>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6D99DEBB" w14:textId="77777777" w:rsidTr="00192992">
        <w:tc>
          <w:tcPr>
            <w:tcW w:w="9350" w:type="dxa"/>
            <w:tcBorders>
              <w:top w:val="single" w:sz="4" w:space="0" w:color="auto"/>
              <w:left w:val="single" w:sz="4" w:space="0" w:color="auto"/>
              <w:bottom w:val="single" w:sz="4" w:space="0" w:color="auto"/>
              <w:right w:val="single" w:sz="4" w:space="0" w:color="auto"/>
            </w:tcBorders>
          </w:tcPr>
          <w:p w14:paraId="1CC65DB4" w14:textId="77777777" w:rsidR="00353CA0" w:rsidRPr="00353CA0" w:rsidRDefault="00353CA0" w:rsidP="00FE2E49">
            <w:pPr>
              <w:keepNext/>
              <w:keepLines/>
              <w:spacing w:after="0"/>
              <w:rPr>
                <w:rFonts w:eastAsia="Times New Roman"/>
                <w:szCs w:val="24"/>
              </w:rPr>
            </w:pPr>
          </w:p>
          <w:p w14:paraId="01057F16" w14:textId="77777777" w:rsidR="00353CA0" w:rsidRPr="00353CA0" w:rsidRDefault="00353CA0" w:rsidP="00FE2E49">
            <w:pPr>
              <w:keepNext/>
              <w:keepLines/>
              <w:spacing w:after="0"/>
              <w:rPr>
                <w:rFonts w:eastAsia="Times New Roman"/>
                <w:szCs w:val="24"/>
              </w:rPr>
            </w:pPr>
          </w:p>
          <w:p w14:paraId="4AE9276A" w14:textId="77777777" w:rsidR="00353CA0" w:rsidRPr="00353CA0" w:rsidRDefault="00353CA0" w:rsidP="00FE2E49">
            <w:pPr>
              <w:keepNext/>
              <w:keepLines/>
              <w:spacing w:after="0"/>
              <w:rPr>
                <w:rFonts w:eastAsia="Times New Roman"/>
                <w:szCs w:val="24"/>
              </w:rPr>
            </w:pPr>
          </w:p>
        </w:tc>
      </w:tr>
    </w:tbl>
    <w:p w14:paraId="72E898B0" w14:textId="7E3E89AC" w:rsidR="00452898" w:rsidRDefault="00452898" w:rsidP="00334E4C">
      <w:pPr>
        <w:pStyle w:val="Heading1"/>
      </w:pPr>
      <w:bookmarkStart w:id="26" w:name="_Toc143527698"/>
      <w:bookmarkStart w:id="27" w:name="_Toc32502665"/>
      <w:bookmarkStart w:id="28" w:name="_Toc32502666"/>
      <w:bookmarkEnd w:id="24"/>
      <w:r w:rsidRPr="00334E4C">
        <w:t>AWS</w:t>
      </w:r>
      <w:r>
        <w:t xml:space="preserve"> – </w:t>
      </w:r>
      <w:r w:rsidR="00334E4C">
        <w:t>automatic weighing systems code</w:t>
      </w:r>
      <w:bookmarkEnd w:id="26"/>
    </w:p>
    <w:p w14:paraId="7F595323" w14:textId="0E0A3AF8" w:rsidR="00B714DF" w:rsidRDefault="008611C8" w:rsidP="005C7622">
      <w:pPr>
        <w:pStyle w:val="ItemHeading"/>
      </w:pPr>
      <w:bookmarkStart w:id="29" w:name="_Toc143527699"/>
      <w:bookmarkStart w:id="30" w:name="_Hlk143506855"/>
      <w:r>
        <w:t>AWS-24.1</w:t>
      </w:r>
      <w:r w:rsidR="00B714DF" w:rsidRPr="003C355F">
        <w:tab/>
      </w:r>
      <w:r w:rsidR="00B714DF" w:rsidRPr="003C355F">
        <w:tab/>
      </w:r>
      <w:r>
        <w:t>N.1.5. Test Loads</w:t>
      </w:r>
      <w:r w:rsidR="005C7622">
        <w: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3CA0" w:rsidRPr="00353CA0" w14:paraId="5FB5312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097B7146" w14:textId="7DFA9D35" w:rsidR="00353CA0" w:rsidRPr="00353CA0" w:rsidRDefault="000172FE" w:rsidP="00353CA0">
            <w:pPr>
              <w:spacing w:after="120"/>
              <w:jc w:val="center"/>
              <w:rPr>
                <w:rFonts w:eastAsia="Times New Roman"/>
                <w:b/>
                <w:szCs w:val="24"/>
              </w:rPr>
            </w:pPr>
            <w:r>
              <w:rPr>
                <w:rFonts w:eastAsia="Times New Roman"/>
                <w:b/>
                <w:szCs w:val="24"/>
              </w:rPr>
              <w:t>AWS-24.1</w:t>
            </w:r>
          </w:p>
        </w:tc>
      </w:tr>
      <w:tr w:rsidR="00353CA0" w:rsidRPr="00353CA0" w14:paraId="33300AFA" w14:textId="77777777" w:rsidTr="00192992">
        <w:tc>
          <w:tcPr>
            <w:tcW w:w="9350" w:type="dxa"/>
            <w:tcBorders>
              <w:top w:val="single" w:sz="24" w:space="0" w:color="auto"/>
              <w:left w:val="single" w:sz="4" w:space="0" w:color="auto"/>
              <w:bottom w:val="single" w:sz="4" w:space="0" w:color="auto"/>
              <w:right w:val="single" w:sz="4" w:space="0" w:color="auto"/>
            </w:tcBorders>
          </w:tcPr>
          <w:p w14:paraId="452C14F0" w14:textId="77777777" w:rsidR="00353CA0" w:rsidRPr="00353CA0" w:rsidRDefault="00353CA0" w:rsidP="00353CA0">
            <w:pPr>
              <w:spacing w:after="0"/>
              <w:rPr>
                <w:rFonts w:eastAsia="Times New Roman"/>
                <w:b/>
                <w:szCs w:val="24"/>
              </w:rPr>
            </w:pPr>
            <w:r w:rsidRPr="00353CA0">
              <w:rPr>
                <w:rFonts w:eastAsia="Times New Roman"/>
                <w:b/>
                <w:szCs w:val="24"/>
              </w:rPr>
              <w:t>Regional recommendation to NCWM on item status:</w:t>
            </w:r>
          </w:p>
          <w:p w14:paraId="472C1E9E" w14:textId="77777777" w:rsidR="00353CA0" w:rsidRPr="00353CA0" w:rsidRDefault="00353CA0" w:rsidP="00353CA0">
            <w:pPr>
              <w:spacing w:after="0"/>
              <w:rPr>
                <w:rFonts w:eastAsia="Times New Roman"/>
                <w:szCs w:val="24"/>
              </w:rPr>
            </w:pPr>
          </w:p>
          <w:p w14:paraId="029F6EAA"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Voting Item on the NCWM agenda</w:t>
            </w:r>
          </w:p>
          <w:p w14:paraId="39652C60"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Information Item on the NCWM agenda</w:t>
            </w:r>
          </w:p>
          <w:p w14:paraId="796436B1"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2"/>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an Assigned Item on the NCWM agenda</w:t>
            </w:r>
          </w:p>
          <w:p w14:paraId="149310A6" w14:textId="77777777" w:rsidR="00353CA0" w:rsidRPr="00353CA0" w:rsidRDefault="00353CA0" w:rsidP="00353CA0">
            <w:pPr>
              <w:spacing w:after="0"/>
              <w:ind w:left="720"/>
              <w:rPr>
                <w:rFonts w:eastAsia="Times New Roman"/>
                <w:szCs w:val="24"/>
              </w:rPr>
            </w:pPr>
            <w:r w:rsidRPr="00353CA0">
              <w:rPr>
                <w:rFonts w:eastAsia="Times New Roman"/>
                <w:i/>
                <w:szCs w:val="24"/>
              </w:rPr>
              <w:t>(To be developed by an NCWM Task Group or Subcommittee)</w:t>
            </w:r>
          </w:p>
          <w:p w14:paraId="68F27CF4"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3"/>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as a Developing Item on the NCWM agenda</w:t>
            </w:r>
          </w:p>
          <w:p w14:paraId="39B095E0" w14:textId="77777777" w:rsidR="00353CA0" w:rsidRPr="00353CA0" w:rsidRDefault="00353CA0" w:rsidP="00353CA0">
            <w:pPr>
              <w:spacing w:after="0"/>
              <w:ind w:left="720"/>
              <w:rPr>
                <w:rFonts w:eastAsia="Times New Roman"/>
                <w:szCs w:val="24"/>
              </w:rPr>
            </w:pPr>
            <w:r w:rsidRPr="00353CA0">
              <w:rPr>
                <w:rFonts w:eastAsia="Times New Roman"/>
                <w:i/>
                <w:szCs w:val="24"/>
              </w:rPr>
              <w:t xml:space="preserve">(To be developed by source of the proposal) </w:t>
            </w:r>
          </w:p>
          <w:p w14:paraId="4672882B" w14:textId="77777777" w:rsidR="00353CA0" w:rsidRPr="00353CA0" w:rsidRDefault="00353CA0" w:rsidP="00353CA0">
            <w:pPr>
              <w:spacing w:after="0"/>
              <w:ind w:left="630" w:hanging="27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Recommend Withdrawal of the Item from the NCWM agenda</w:t>
            </w:r>
          </w:p>
          <w:p w14:paraId="32DEB2A3" w14:textId="77777777" w:rsidR="00353CA0" w:rsidRPr="00353CA0" w:rsidRDefault="00353CA0" w:rsidP="00353CA0">
            <w:pPr>
              <w:spacing w:after="0"/>
              <w:ind w:left="990" w:hanging="270"/>
              <w:rPr>
                <w:rFonts w:eastAsia="Times New Roman"/>
                <w:i/>
                <w:szCs w:val="24"/>
              </w:rPr>
            </w:pPr>
            <w:r w:rsidRPr="00353CA0">
              <w:rPr>
                <w:rFonts w:eastAsia="Times New Roman"/>
                <w:i/>
                <w:szCs w:val="24"/>
              </w:rPr>
              <w:t>(In the case of new proposals, do not forward this item to NCWM)</w:t>
            </w:r>
          </w:p>
          <w:p w14:paraId="2477E8F7" w14:textId="77777777" w:rsidR="00353CA0" w:rsidRPr="00353CA0" w:rsidRDefault="00353CA0" w:rsidP="00353CA0">
            <w:pPr>
              <w:spacing w:after="0"/>
              <w:ind w:left="360"/>
              <w:rPr>
                <w:rFonts w:eastAsia="Times New Roman"/>
                <w:szCs w:val="24"/>
              </w:rPr>
            </w:pPr>
            <w:r w:rsidRPr="00353CA0">
              <w:rPr>
                <w:rFonts w:eastAsia="Times New Roman"/>
                <w:szCs w:val="24"/>
              </w:rPr>
              <w:fldChar w:fldCharType="begin">
                <w:ffData>
                  <w:name w:val="Check4"/>
                  <w:enabled/>
                  <w:calcOnExit w:val="0"/>
                  <w:checkBox>
                    <w:sizeAuto/>
                    <w:default w:val="0"/>
                  </w:checkBox>
                </w:ffData>
              </w:fldChar>
            </w:r>
            <w:r w:rsidRPr="00353CA0">
              <w:rPr>
                <w:rFonts w:eastAsia="Times New Roman"/>
                <w:szCs w:val="24"/>
              </w:rPr>
              <w:instrText xml:space="preserve"> FORMCHECKBOX </w:instrText>
            </w:r>
            <w:r w:rsidRPr="00353CA0">
              <w:rPr>
                <w:rFonts w:eastAsia="Times New Roman"/>
                <w:szCs w:val="24"/>
              </w:rPr>
            </w:r>
            <w:r w:rsidRPr="00353CA0">
              <w:rPr>
                <w:rFonts w:eastAsia="Times New Roman"/>
                <w:szCs w:val="24"/>
              </w:rPr>
              <w:fldChar w:fldCharType="separate"/>
            </w:r>
            <w:r w:rsidRPr="00353CA0">
              <w:rPr>
                <w:rFonts w:eastAsia="Times New Roman"/>
                <w:szCs w:val="24"/>
              </w:rPr>
              <w:fldChar w:fldCharType="end"/>
            </w:r>
            <w:r w:rsidRPr="00353CA0">
              <w:rPr>
                <w:rFonts w:eastAsia="Times New Roman"/>
                <w:szCs w:val="24"/>
              </w:rPr>
              <w:t xml:space="preserve"> No recommendation from the region to NCWM</w:t>
            </w:r>
          </w:p>
          <w:p w14:paraId="273105BA" w14:textId="77777777" w:rsidR="00353CA0" w:rsidRPr="00353CA0" w:rsidRDefault="00353CA0" w:rsidP="00353CA0">
            <w:pPr>
              <w:spacing w:after="0"/>
              <w:ind w:left="360"/>
              <w:rPr>
                <w:rFonts w:eastAsia="Times New Roman"/>
                <w:i/>
                <w:szCs w:val="24"/>
              </w:rPr>
            </w:pPr>
            <w:r w:rsidRPr="00353CA0">
              <w:rPr>
                <w:rFonts w:eastAsia="Times New Roman"/>
                <w:i/>
                <w:szCs w:val="24"/>
              </w:rPr>
              <w:t xml:space="preserve">       (If this is a new proposal, it will not be forwarded to the national committee by this region)</w:t>
            </w:r>
          </w:p>
          <w:p w14:paraId="1EB57AAD" w14:textId="77777777" w:rsidR="00353CA0" w:rsidRPr="00353CA0" w:rsidRDefault="00353CA0" w:rsidP="00353CA0">
            <w:pPr>
              <w:spacing w:after="0"/>
              <w:ind w:left="360"/>
              <w:rPr>
                <w:rFonts w:eastAsia="Times New Roman"/>
                <w:szCs w:val="24"/>
              </w:rPr>
            </w:pPr>
          </w:p>
        </w:tc>
      </w:tr>
      <w:tr w:rsidR="00353CA0" w:rsidRPr="00353CA0" w14:paraId="0FCC2D13"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521E146" w14:textId="77777777" w:rsidR="00353CA0" w:rsidRPr="00353CA0" w:rsidRDefault="00353CA0" w:rsidP="00353CA0">
            <w:pPr>
              <w:spacing w:after="0"/>
              <w:rPr>
                <w:rFonts w:eastAsia="Times New Roman"/>
                <w:b/>
                <w:szCs w:val="24"/>
              </w:rPr>
            </w:pPr>
            <w:r w:rsidRPr="00353CA0">
              <w:rPr>
                <w:rFonts w:eastAsia="Times New Roman"/>
                <w:b/>
                <w:szCs w:val="24"/>
              </w:rPr>
              <w:t xml:space="preserve">Comments and justification for the regional recommendation to NCWM: </w:t>
            </w:r>
            <w:r w:rsidRPr="00353CA0">
              <w:rPr>
                <w:rFonts w:eastAsia="Times New Roman"/>
                <w:i/>
                <w:szCs w:val="24"/>
              </w:rPr>
              <w:t>(This will appear in NCWM reports)</w:t>
            </w:r>
          </w:p>
        </w:tc>
      </w:tr>
      <w:tr w:rsidR="00353CA0" w:rsidRPr="00353CA0" w14:paraId="572F153E" w14:textId="77777777" w:rsidTr="00192992">
        <w:tc>
          <w:tcPr>
            <w:tcW w:w="9350" w:type="dxa"/>
            <w:tcBorders>
              <w:top w:val="single" w:sz="4" w:space="0" w:color="auto"/>
              <w:left w:val="single" w:sz="4" w:space="0" w:color="auto"/>
              <w:bottom w:val="single" w:sz="4" w:space="0" w:color="auto"/>
              <w:right w:val="single" w:sz="4" w:space="0" w:color="auto"/>
            </w:tcBorders>
          </w:tcPr>
          <w:p w14:paraId="26E9E1EF" w14:textId="77777777" w:rsidR="00353CA0" w:rsidRPr="00353CA0" w:rsidRDefault="00353CA0" w:rsidP="00353CA0">
            <w:pPr>
              <w:spacing w:after="0"/>
              <w:rPr>
                <w:rFonts w:eastAsia="Times New Roman"/>
                <w:szCs w:val="24"/>
              </w:rPr>
            </w:pPr>
          </w:p>
          <w:p w14:paraId="758D51DB" w14:textId="77777777" w:rsidR="00353CA0" w:rsidRPr="00353CA0" w:rsidRDefault="00353CA0" w:rsidP="00353CA0">
            <w:pPr>
              <w:spacing w:after="0"/>
              <w:rPr>
                <w:rFonts w:eastAsia="Times New Roman"/>
                <w:szCs w:val="24"/>
              </w:rPr>
            </w:pPr>
          </w:p>
          <w:p w14:paraId="498A3C10" w14:textId="77777777" w:rsidR="00353CA0" w:rsidRPr="00353CA0" w:rsidRDefault="00353CA0" w:rsidP="00353CA0">
            <w:pPr>
              <w:spacing w:after="0"/>
              <w:rPr>
                <w:rFonts w:eastAsia="Times New Roman"/>
                <w:szCs w:val="24"/>
              </w:rPr>
            </w:pPr>
          </w:p>
        </w:tc>
      </w:tr>
    </w:tbl>
    <w:p w14:paraId="4E7888B0" w14:textId="03E0200D" w:rsidR="000762B3" w:rsidRPr="003C355F" w:rsidRDefault="00DD3D36" w:rsidP="00FE2E49">
      <w:pPr>
        <w:pStyle w:val="ItemHeading"/>
        <w:keepNext/>
        <w:keepLines/>
      </w:pPr>
      <w:bookmarkStart w:id="31" w:name="_Toc143527700"/>
      <w:bookmarkStart w:id="32" w:name="_Hlk143515249"/>
      <w:bookmarkEnd w:id="30"/>
      <w:r>
        <w:lastRenderedPageBreak/>
        <w:t>AWS-24.2</w:t>
      </w:r>
      <w:r w:rsidR="000762B3" w:rsidRPr="003C355F">
        <w:tab/>
      </w:r>
      <w:r w:rsidR="000762B3" w:rsidRPr="003C355F">
        <w:tab/>
      </w:r>
      <w:r>
        <w:t xml:space="preserve">N.1.6. </w:t>
      </w:r>
      <w:r w:rsidR="00291A72">
        <w:t>Influence Factor Testing.</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23BA25B6"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0D20296" w14:textId="0FD9D350" w:rsidR="00BF21F6" w:rsidRPr="00BF21F6" w:rsidRDefault="000172FE" w:rsidP="00FE2E49">
            <w:pPr>
              <w:keepNext/>
              <w:keepLines/>
              <w:spacing w:after="120"/>
              <w:jc w:val="center"/>
              <w:rPr>
                <w:rFonts w:eastAsia="Times New Roman"/>
                <w:b/>
                <w:szCs w:val="24"/>
              </w:rPr>
            </w:pPr>
            <w:r>
              <w:rPr>
                <w:rFonts w:eastAsia="Times New Roman"/>
                <w:b/>
                <w:szCs w:val="24"/>
              </w:rPr>
              <w:t>AWS-24.2</w:t>
            </w:r>
          </w:p>
        </w:tc>
      </w:tr>
      <w:tr w:rsidR="00BF21F6" w:rsidRPr="00BF21F6" w14:paraId="34CECF45" w14:textId="77777777" w:rsidTr="00192992">
        <w:tc>
          <w:tcPr>
            <w:tcW w:w="9350" w:type="dxa"/>
            <w:tcBorders>
              <w:top w:val="single" w:sz="24" w:space="0" w:color="auto"/>
              <w:left w:val="single" w:sz="4" w:space="0" w:color="auto"/>
              <w:bottom w:val="single" w:sz="4" w:space="0" w:color="auto"/>
              <w:right w:val="single" w:sz="4" w:space="0" w:color="auto"/>
            </w:tcBorders>
          </w:tcPr>
          <w:p w14:paraId="37457C34"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7FBA9C7F" w14:textId="77777777" w:rsidR="00BF21F6" w:rsidRPr="00BF21F6" w:rsidRDefault="00BF21F6" w:rsidP="00FE2E49">
            <w:pPr>
              <w:keepNext/>
              <w:keepLines/>
              <w:spacing w:after="0"/>
              <w:rPr>
                <w:rFonts w:eastAsia="Times New Roman"/>
                <w:szCs w:val="24"/>
              </w:rPr>
            </w:pPr>
          </w:p>
          <w:p w14:paraId="3512AA86"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2824B039"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22893082"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0416AEBE"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753A5562"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59EA90CD"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16C20096"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2B9D347D"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48F36984"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3D23B915"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1E802316" w14:textId="77777777" w:rsidR="00BF21F6" w:rsidRPr="00BF21F6" w:rsidRDefault="00BF21F6" w:rsidP="00FE2E49">
            <w:pPr>
              <w:keepNext/>
              <w:keepLines/>
              <w:spacing w:after="0"/>
              <w:ind w:left="360"/>
              <w:rPr>
                <w:rFonts w:eastAsia="Times New Roman"/>
                <w:szCs w:val="24"/>
              </w:rPr>
            </w:pPr>
          </w:p>
        </w:tc>
      </w:tr>
      <w:tr w:rsidR="00BF21F6" w:rsidRPr="00BF21F6" w14:paraId="796B52E6"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7CF26075"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46B736FB" w14:textId="77777777" w:rsidTr="00192992">
        <w:tc>
          <w:tcPr>
            <w:tcW w:w="9350" w:type="dxa"/>
            <w:tcBorders>
              <w:top w:val="single" w:sz="4" w:space="0" w:color="auto"/>
              <w:left w:val="single" w:sz="4" w:space="0" w:color="auto"/>
              <w:bottom w:val="single" w:sz="4" w:space="0" w:color="auto"/>
              <w:right w:val="single" w:sz="4" w:space="0" w:color="auto"/>
            </w:tcBorders>
          </w:tcPr>
          <w:p w14:paraId="25583F10" w14:textId="77777777" w:rsidR="00BF21F6" w:rsidRPr="00BF21F6" w:rsidRDefault="00BF21F6" w:rsidP="00FE2E49">
            <w:pPr>
              <w:keepNext/>
              <w:keepLines/>
              <w:spacing w:after="0"/>
              <w:rPr>
                <w:rFonts w:eastAsia="Times New Roman"/>
                <w:szCs w:val="24"/>
              </w:rPr>
            </w:pPr>
          </w:p>
          <w:p w14:paraId="457805E1" w14:textId="77777777" w:rsidR="00BF21F6" w:rsidRPr="00BF21F6" w:rsidRDefault="00BF21F6" w:rsidP="00FE2E49">
            <w:pPr>
              <w:keepNext/>
              <w:keepLines/>
              <w:spacing w:after="0"/>
              <w:rPr>
                <w:rFonts w:eastAsia="Times New Roman"/>
                <w:szCs w:val="24"/>
              </w:rPr>
            </w:pPr>
          </w:p>
          <w:p w14:paraId="28866401" w14:textId="77777777" w:rsidR="00BF21F6" w:rsidRPr="00BF21F6" w:rsidRDefault="00BF21F6" w:rsidP="00FE2E49">
            <w:pPr>
              <w:keepNext/>
              <w:keepLines/>
              <w:spacing w:after="0"/>
              <w:rPr>
                <w:rFonts w:eastAsia="Times New Roman"/>
                <w:szCs w:val="24"/>
              </w:rPr>
            </w:pPr>
          </w:p>
        </w:tc>
      </w:tr>
    </w:tbl>
    <w:p w14:paraId="0120A2FB" w14:textId="77777777" w:rsidR="000762B3" w:rsidRDefault="000762B3" w:rsidP="000762B3">
      <w:pPr>
        <w:spacing w:after="0"/>
      </w:pPr>
    </w:p>
    <w:p w14:paraId="7001EF86" w14:textId="633940F0" w:rsidR="006B7F0A" w:rsidRPr="00787274" w:rsidRDefault="00787274" w:rsidP="006B7F0A">
      <w:pPr>
        <w:pStyle w:val="ItemHeading"/>
        <w:rPr>
          <w:u w:val="single"/>
        </w:rPr>
      </w:pPr>
      <w:bookmarkStart w:id="33" w:name="_Toc143527701"/>
      <w:bookmarkEnd w:id="32"/>
      <w:r>
        <w:t>AWS-24.3</w:t>
      </w:r>
      <w:r w:rsidR="006B7F0A" w:rsidRPr="003C355F">
        <w:tab/>
      </w:r>
      <w:r w:rsidR="006B7F0A" w:rsidRPr="003C355F">
        <w:tab/>
      </w:r>
      <w:r>
        <w:rPr>
          <w:u w:val="single"/>
        </w:rPr>
        <w:t>N.22.3. Shift Test (Dynamic)</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3D5EAF8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CD54903" w14:textId="46C6251B" w:rsidR="00BF21F6" w:rsidRPr="00BF21F6" w:rsidRDefault="000172FE" w:rsidP="00BF21F6">
            <w:pPr>
              <w:spacing w:after="120"/>
              <w:jc w:val="center"/>
              <w:rPr>
                <w:rFonts w:eastAsia="Times New Roman"/>
                <w:b/>
                <w:szCs w:val="24"/>
              </w:rPr>
            </w:pPr>
            <w:r>
              <w:rPr>
                <w:rFonts w:eastAsia="Times New Roman"/>
                <w:b/>
                <w:szCs w:val="24"/>
              </w:rPr>
              <w:t>AWS-24.3</w:t>
            </w:r>
          </w:p>
        </w:tc>
      </w:tr>
      <w:tr w:rsidR="00BF21F6" w:rsidRPr="00BF21F6" w14:paraId="6B6B2450" w14:textId="77777777" w:rsidTr="00192992">
        <w:tc>
          <w:tcPr>
            <w:tcW w:w="9350" w:type="dxa"/>
            <w:tcBorders>
              <w:top w:val="single" w:sz="24" w:space="0" w:color="auto"/>
              <w:left w:val="single" w:sz="4" w:space="0" w:color="auto"/>
              <w:bottom w:val="single" w:sz="4" w:space="0" w:color="auto"/>
              <w:right w:val="single" w:sz="4" w:space="0" w:color="auto"/>
            </w:tcBorders>
          </w:tcPr>
          <w:p w14:paraId="7481047E"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14963AEE" w14:textId="77777777" w:rsidR="00BF21F6" w:rsidRPr="00BF21F6" w:rsidRDefault="00BF21F6" w:rsidP="00BF21F6">
            <w:pPr>
              <w:spacing w:after="0"/>
              <w:rPr>
                <w:rFonts w:eastAsia="Times New Roman"/>
                <w:szCs w:val="24"/>
              </w:rPr>
            </w:pPr>
          </w:p>
          <w:p w14:paraId="625F7854"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03980D61"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7B45F410"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45B101FF"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32A67AF7"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37C81BB7"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12DC07FC"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1E2B137C"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759733B7"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44A7F21C"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79FFF51C" w14:textId="77777777" w:rsidR="00BF21F6" w:rsidRPr="00BF21F6" w:rsidRDefault="00BF21F6" w:rsidP="00BF21F6">
            <w:pPr>
              <w:spacing w:after="0"/>
              <w:ind w:left="360"/>
              <w:rPr>
                <w:rFonts w:eastAsia="Times New Roman"/>
                <w:szCs w:val="24"/>
              </w:rPr>
            </w:pPr>
          </w:p>
        </w:tc>
      </w:tr>
      <w:tr w:rsidR="00BF21F6" w:rsidRPr="00BF21F6" w14:paraId="714A5F0A"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085CF5B2"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44985E8A" w14:textId="77777777" w:rsidTr="00192992">
        <w:tc>
          <w:tcPr>
            <w:tcW w:w="9350" w:type="dxa"/>
            <w:tcBorders>
              <w:top w:val="single" w:sz="4" w:space="0" w:color="auto"/>
              <w:left w:val="single" w:sz="4" w:space="0" w:color="auto"/>
              <w:bottom w:val="single" w:sz="4" w:space="0" w:color="auto"/>
              <w:right w:val="single" w:sz="4" w:space="0" w:color="auto"/>
            </w:tcBorders>
          </w:tcPr>
          <w:p w14:paraId="4D2CF75F" w14:textId="77777777" w:rsidR="00BF21F6" w:rsidRPr="00BF21F6" w:rsidRDefault="00BF21F6" w:rsidP="00BF21F6">
            <w:pPr>
              <w:spacing w:after="0"/>
              <w:rPr>
                <w:rFonts w:eastAsia="Times New Roman"/>
                <w:szCs w:val="24"/>
              </w:rPr>
            </w:pPr>
          </w:p>
          <w:p w14:paraId="511AD15A" w14:textId="77777777" w:rsidR="00BF21F6" w:rsidRPr="00BF21F6" w:rsidRDefault="00BF21F6" w:rsidP="00BF21F6">
            <w:pPr>
              <w:spacing w:after="0"/>
              <w:rPr>
                <w:rFonts w:eastAsia="Times New Roman"/>
                <w:szCs w:val="24"/>
              </w:rPr>
            </w:pPr>
          </w:p>
          <w:p w14:paraId="0CDE3B5F" w14:textId="77777777" w:rsidR="00BF21F6" w:rsidRPr="00BF21F6" w:rsidRDefault="00BF21F6" w:rsidP="00BF21F6">
            <w:pPr>
              <w:spacing w:after="0"/>
              <w:rPr>
                <w:rFonts w:eastAsia="Times New Roman"/>
                <w:szCs w:val="24"/>
              </w:rPr>
            </w:pPr>
          </w:p>
        </w:tc>
      </w:tr>
    </w:tbl>
    <w:p w14:paraId="154EE364" w14:textId="77777777" w:rsidR="006B7F0A" w:rsidRDefault="006B7F0A" w:rsidP="006B7F0A">
      <w:pPr>
        <w:spacing w:after="0"/>
      </w:pPr>
    </w:p>
    <w:p w14:paraId="6BFD0992" w14:textId="1E27AB70" w:rsidR="005F663F" w:rsidRDefault="001C08E2" w:rsidP="00FE2E49">
      <w:pPr>
        <w:pStyle w:val="Heading1"/>
      </w:pPr>
      <w:bookmarkStart w:id="34" w:name="_Toc143527702"/>
      <w:r>
        <w:rPr>
          <w:caps w:val="0"/>
        </w:rPr>
        <w:lastRenderedPageBreak/>
        <w:t>WIM – WEIGH-IN-MOTION SYSTEMS – TENTATIVE CODE</w:t>
      </w:r>
      <w:bookmarkEnd w:id="34"/>
    </w:p>
    <w:p w14:paraId="5CC25ECD" w14:textId="03DAEC0A" w:rsidR="005F663F" w:rsidRDefault="005F663F" w:rsidP="00FE2E49">
      <w:pPr>
        <w:pStyle w:val="ItemHeading"/>
        <w:keepNext/>
        <w:keepLines/>
        <w:tabs>
          <w:tab w:val="clear" w:pos="900"/>
          <w:tab w:val="left" w:pos="1710"/>
        </w:tabs>
        <w:ind w:left="2160" w:hanging="2160"/>
      </w:pPr>
      <w:bookmarkStart w:id="35" w:name="_Toc143527703"/>
      <w:r>
        <w:t>WIM-23.1</w:t>
      </w:r>
      <w:r>
        <w:tab/>
      </w:r>
      <w:r w:rsidR="00406F72">
        <w:t>I</w:t>
      </w:r>
      <w:r>
        <w:tab/>
        <w:t xml:space="preserve">Remove Tentative Status and </w:t>
      </w:r>
      <w:r w:rsidR="00766DAA">
        <w:t>A</w:t>
      </w:r>
      <w:r>
        <w:t xml:space="preserve">mend </w:t>
      </w:r>
      <w:r w:rsidR="00766DAA">
        <w:t>Numerous Sections Throughout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5B26F14D"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15A0F6C0" w14:textId="6F2C2160" w:rsidR="00BF21F6" w:rsidRPr="00BF21F6" w:rsidRDefault="000172FE" w:rsidP="00FE2E49">
            <w:pPr>
              <w:keepNext/>
              <w:keepLines/>
              <w:spacing w:after="120"/>
              <w:jc w:val="center"/>
              <w:rPr>
                <w:rFonts w:eastAsia="Times New Roman"/>
                <w:b/>
                <w:szCs w:val="24"/>
              </w:rPr>
            </w:pPr>
            <w:r>
              <w:rPr>
                <w:rFonts w:eastAsia="Times New Roman"/>
                <w:b/>
                <w:szCs w:val="24"/>
              </w:rPr>
              <w:t>WIM-23.1</w:t>
            </w:r>
          </w:p>
        </w:tc>
      </w:tr>
      <w:tr w:rsidR="00BF21F6" w:rsidRPr="00BF21F6" w14:paraId="26A8D473" w14:textId="77777777" w:rsidTr="00192992">
        <w:tc>
          <w:tcPr>
            <w:tcW w:w="9350" w:type="dxa"/>
            <w:tcBorders>
              <w:top w:val="single" w:sz="24" w:space="0" w:color="auto"/>
              <w:left w:val="single" w:sz="4" w:space="0" w:color="auto"/>
              <w:bottom w:val="single" w:sz="4" w:space="0" w:color="auto"/>
              <w:right w:val="single" w:sz="4" w:space="0" w:color="auto"/>
            </w:tcBorders>
          </w:tcPr>
          <w:p w14:paraId="0003F0BE"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32374D5D" w14:textId="77777777" w:rsidR="00BF21F6" w:rsidRPr="00BF21F6" w:rsidRDefault="00BF21F6" w:rsidP="00FE2E49">
            <w:pPr>
              <w:keepNext/>
              <w:keepLines/>
              <w:spacing w:after="0"/>
              <w:rPr>
                <w:rFonts w:eastAsia="Times New Roman"/>
                <w:szCs w:val="24"/>
              </w:rPr>
            </w:pPr>
          </w:p>
          <w:p w14:paraId="0E9FC64D"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22872D49"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36E11948"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7493B37C"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615999C6"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456D3957"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0A3D947A"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7775C5F0"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7C377C2C"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77A3AB14"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5CE70B49" w14:textId="77777777" w:rsidR="00BF21F6" w:rsidRPr="00BF21F6" w:rsidRDefault="00BF21F6" w:rsidP="00FE2E49">
            <w:pPr>
              <w:keepNext/>
              <w:keepLines/>
              <w:spacing w:after="0"/>
              <w:ind w:left="360"/>
              <w:rPr>
                <w:rFonts w:eastAsia="Times New Roman"/>
                <w:szCs w:val="24"/>
              </w:rPr>
            </w:pPr>
          </w:p>
        </w:tc>
      </w:tr>
      <w:tr w:rsidR="00BF21F6" w:rsidRPr="00BF21F6" w14:paraId="155CC9EE"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5EB0CF4"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2AB48917" w14:textId="77777777" w:rsidTr="00192992">
        <w:tc>
          <w:tcPr>
            <w:tcW w:w="9350" w:type="dxa"/>
            <w:tcBorders>
              <w:top w:val="single" w:sz="4" w:space="0" w:color="auto"/>
              <w:left w:val="single" w:sz="4" w:space="0" w:color="auto"/>
              <w:bottom w:val="single" w:sz="4" w:space="0" w:color="auto"/>
              <w:right w:val="single" w:sz="4" w:space="0" w:color="auto"/>
            </w:tcBorders>
          </w:tcPr>
          <w:p w14:paraId="23BB6869" w14:textId="77777777" w:rsidR="00BF21F6" w:rsidRPr="00BF21F6" w:rsidRDefault="00BF21F6" w:rsidP="00FE2E49">
            <w:pPr>
              <w:keepNext/>
              <w:keepLines/>
              <w:spacing w:after="0"/>
              <w:rPr>
                <w:rFonts w:eastAsia="Times New Roman"/>
                <w:szCs w:val="24"/>
              </w:rPr>
            </w:pPr>
          </w:p>
          <w:p w14:paraId="67A1396B" w14:textId="77777777" w:rsidR="00BF21F6" w:rsidRPr="00BF21F6" w:rsidRDefault="00BF21F6" w:rsidP="00FE2E49">
            <w:pPr>
              <w:keepNext/>
              <w:keepLines/>
              <w:spacing w:after="0"/>
              <w:rPr>
                <w:rFonts w:eastAsia="Times New Roman"/>
                <w:szCs w:val="24"/>
              </w:rPr>
            </w:pPr>
          </w:p>
          <w:p w14:paraId="2F249D55" w14:textId="77777777" w:rsidR="00BF21F6" w:rsidRPr="00BF21F6" w:rsidRDefault="00BF21F6" w:rsidP="00FE2E49">
            <w:pPr>
              <w:keepNext/>
              <w:keepLines/>
              <w:spacing w:after="0"/>
              <w:rPr>
                <w:rFonts w:eastAsia="Times New Roman"/>
                <w:szCs w:val="24"/>
              </w:rPr>
            </w:pPr>
          </w:p>
        </w:tc>
      </w:tr>
    </w:tbl>
    <w:p w14:paraId="3DDC7438" w14:textId="71F5FD4C" w:rsidR="001D53D6" w:rsidRPr="00853A03" w:rsidRDefault="001C08E2" w:rsidP="00857392">
      <w:pPr>
        <w:pStyle w:val="Heading1"/>
      </w:pPr>
      <w:bookmarkStart w:id="36" w:name="_Toc143527704"/>
      <w:r w:rsidRPr="00853A03">
        <w:rPr>
          <w:caps w:val="0"/>
        </w:rPr>
        <w:t>VTM – VEHICLE TANK METERS</w:t>
      </w:r>
      <w:bookmarkEnd w:id="27"/>
      <w:bookmarkEnd w:id="36"/>
    </w:p>
    <w:p w14:paraId="7360D300" w14:textId="7D716D64" w:rsidR="00253F31" w:rsidRDefault="00253F31" w:rsidP="00B45244">
      <w:pPr>
        <w:pStyle w:val="ItemHeading"/>
        <w:keepNext/>
        <w:tabs>
          <w:tab w:val="clear" w:pos="900"/>
          <w:tab w:val="left" w:pos="1710"/>
        </w:tabs>
        <w:ind w:left="2160" w:hanging="2160"/>
      </w:pPr>
      <w:bookmarkStart w:id="37" w:name="_Toc32502668"/>
      <w:bookmarkStart w:id="38" w:name="_Toc143527705"/>
      <w:bookmarkStart w:id="39" w:name="_Hlk22904358"/>
      <w:bookmarkStart w:id="40" w:name="_Hlk22908033"/>
      <w:bookmarkEnd w:id="28"/>
      <w:r w:rsidRPr="00CC6830">
        <w:t>VTM-20.2</w:t>
      </w:r>
      <w:r w:rsidRPr="00853A03">
        <w:tab/>
      </w:r>
      <w:r w:rsidR="00EC4220" w:rsidRPr="00853A03">
        <w:t>A</w:t>
      </w:r>
      <w:r w:rsidRPr="00853A03">
        <w:tab/>
        <w:t>Table T.2. Tolerances for Vehicle Mounted Milk Meters.</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6377FE77"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2ACBB1FD" w14:textId="7CF2B312" w:rsidR="00BF21F6" w:rsidRPr="00BF21F6" w:rsidRDefault="000172FE" w:rsidP="00BF21F6">
            <w:pPr>
              <w:spacing w:after="120"/>
              <w:jc w:val="center"/>
              <w:rPr>
                <w:rFonts w:eastAsia="Times New Roman"/>
                <w:b/>
                <w:szCs w:val="24"/>
              </w:rPr>
            </w:pPr>
            <w:r>
              <w:rPr>
                <w:rFonts w:eastAsia="Times New Roman"/>
                <w:b/>
                <w:szCs w:val="24"/>
              </w:rPr>
              <w:t>VTM-20.2</w:t>
            </w:r>
          </w:p>
        </w:tc>
      </w:tr>
      <w:tr w:rsidR="00BF21F6" w:rsidRPr="00BF21F6" w14:paraId="01263AA6" w14:textId="77777777" w:rsidTr="00192992">
        <w:tc>
          <w:tcPr>
            <w:tcW w:w="9350" w:type="dxa"/>
            <w:tcBorders>
              <w:top w:val="single" w:sz="24" w:space="0" w:color="auto"/>
              <w:left w:val="single" w:sz="4" w:space="0" w:color="auto"/>
              <w:bottom w:val="single" w:sz="4" w:space="0" w:color="auto"/>
              <w:right w:val="single" w:sz="4" w:space="0" w:color="auto"/>
            </w:tcBorders>
          </w:tcPr>
          <w:p w14:paraId="0D6A06FB"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379A864E" w14:textId="77777777" w:rsidR="00BF21F6" w:rsidRPr="00BF21F6" w:rsidRDefault="00BF21F6" w:rsidP="00BF21F6">
            <w:pPr>
              <w:spacing w:after="0"/>
              <w:rPr>
                <w:rFonts w:eastAsia="Times New Roman"/>
                <w:szCs w:val="24"/>
              </w:rPr>
            </w:pPr>
          </w:p>
          <w:p w14:paraId="3E1F1DE0"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4AC9F56A"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40D8B195"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5421854F"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2503FBEC"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24E44682"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64719E6C"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75D79416"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6A58FDA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73091FC7"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40150323" w14:textId="77777777" w:rsidR="00BF21F6" w:rsidRPr="00BF21F6" w:rsidRDefault="00BF21F6" w:rsidP="00BF21F6">
            <w:pPr>
              <w:spacing w:after="0"/>
              <w:ind w:left="360"/>
              <w:rPr>
                <w:rFonts w:eastAsia="Times New Roman"/>
                <w:szCs w:val="24"/>
              </w:rPr>
            </w:pPr>
          </w:p>
        </w:tc>
      </w:tr>
      <w:tr w:rsidR="00BF21F6" w:rsidRPr="00BF21F6" w14:paraId="6F92F12F"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2A4991E"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455E4FEA" w14:textId="77777777" w:rsidTr="00192992">
        <w:tc>
          <w:tcPr>
            <w:tcW w:w="9350" w:type="dxa"/>
            <w:tcBorders>
              <w:top w:val="single" w:sz="4" w:space="0" w:color="auto"/>
              <w:left w:val="single" w:sz="4" w:space="0" w:color="auto"/>
              <w:bottom w:val="single" w:sz="4" w:space="0" w:color="auto"/>
              <w:right w:val="single" w:sz="4" w:space="0" w:color="auto"/>
            </w:tcBorders>
          </w:tcPr>
          <w:p w14:paraId="733B82E2" w14:textId="77777777" w:rsidR="00BF21F6" w:rsidRPr="00BF21F6" w:rsidRDefault="00BF21F6" w:rsidP="00BF21F6">
            <w:pPr>
              <w:spacing w:after="0"/>
              <w:rPr>
                <w:rFonts w:eastAsia="Times New Roman"/>
                <w:szCs w:val="24"/>
              </w:rPr>
            </w:pPr>
          </w:p>
          <w:p w14:paraId="4D19026D" w14:textId="77777777" w:rsidR="00BF21F6" w:rsidRPr="00BF21F6" w:rsidRDefault="00BF21F6" w:rsidP="00BF21F6">
            <w:pPr>
              <w:spacing w:after="0"/>
              <w:rPr>
                <w:rFonts w:eastAsia="Times New Roman"/>
                <w:szCs w:val="24"/>
              </w:rPr>
            </w:pPr>
          </w:p>
          <w:p w14:paraId="537EDFD8" w14:textId="77777777" w:rsidR="00BF21F6" w:rsidRPr="00BF21F6" w:rsidRDefault="00BF21F6" w:rsidP="00BF21F6">
            <w:pPr>
              <w:spacing w:after="0"/>
              <w:rPr>
                <w:rFonts w:eastAsia="Times New Roman"/>
                <w:szCs w:val="24"/>
              </w:rPr>
            </w:pPr>
          </w:p>
        </w:tc>
      </w:tr>
    </w:tbl>
    <w:p w14:paraId="266026F4" w14:textId="7EA158C2" w:rsidR="00C362E7" w:rsidRDefault="001C08E2" w:rsidP="00EC0F4D">
      <w:pPr>
        <w:pStyle w:val="Heading1"/>
        <w:keepLines w:val="0"/>
        <w:rPr>
          <w:caps w:val="0"/>
        </w:rPr>
      </w:pPr>
      <w:bookmarkStart w:id="41" w:name="_Toc32502658"/>
      <w:bookmarkStart w:id="42" w:name="_Toc32502676"/>
      <w:bookmarkStart w:id="43" w:name="_Hlk523486858"/>
      <w:bookmarkStart w:id="44" w:name="_Toc491182943"/>
      <w:bookmarkStart w:id="45" w:name="_Toc143527706"/>
      <w:bookmarkEnd w:id="39"/>
      <w:bookmarkEnd w:id="40"/>
      <w:r>
        <w:rPr>
          <w:caps w:val="0"/>
        </w:rPr>
        <w:lastRenderedPageBreak/>
        <w:t>LPG – LIQUIFIED PETROLEUM GAS AND ANHYDROUS AMMONIA LIQUID-</w:t>
      </w:r>
      <w:r w:rsidRPr="00853A03">
        <w:rPr>
          <w:caps w:val="0"/>
        </w:rPr>
        <w:t>MEASURING DEVICES</w:t>
      </w:r>
      <w:bookmarkEnd w:id="45"/>
    </w:p>
    <w:p w14:paraId="2E4E64F5" w14:textId="48DE4D6A" w:rsidR="00D60968" w:rsidRDefault="00D60968" w:rsidP="00EC0F4D">
      <w:pPr>
        <w:pStyle w:val="ItemHeading"/>
        <w:tabs>
          <w:tab w:val="clear" w:pos="900"/>
          <w:tab w:val="left" w:pos="1710"/>
        </w:tabs>
        <w:ind w:left="2160" w:hanging="2160"/>
      </w:pPr>
      <w:bookmarkStart w:id="46" w:name="_Toc143527707"/>
      <w:bookmarkEnd w:id="41"/>
      <w:r>
        <w:t>LPG-23.1</w:t>
      </w:r>
      <w:r>
        <w:tab/>
      </w:r>
      <w:r w:rsidR="00EB1DCF">
        <w:t>I</w:t>
      </w:r>
      <w:r>
        <w:tab/>
        <w:t>S.</w:t>
      </w:r>
      <w:r w:rsidR="00CC6830">
        <w:t>2</w:t>
      </w:r>
      <w:r>
        <w:t>.5. Zero-Set-Back Interlock</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5FE011B2"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B9435C8" w14:textId="3056F635" w:rsidR="00BF21F6" w:rsidRPr="00BF21F6" w:rsidRDefault="000172FE" w:rsidP="00BF21F6">
            <w:pPr>
              <w:spacing w:after="120"/>
              <w:jc w:val="center"/>
              <w:rPr>
                <w:rFonts w:eastAsia="Times New Roman"/>
                <w:b/>
                <w:szCs w:val="24"/>
              </w:rPr>
            </w:pPr>
            <w:r>
              <w:rPr>
                <w:rFonts w:eastAsia="Times New Roman"/>
                <w:b/>
                <w:szCs w:val="24"/>
              </w:rPr>
              <w:t>LPG-23.1</w:t>
            </w:r>
          </w:p>
        </w:tc>
      </w:tr>
      <w:tr w:rsidR="00BF21F6" w:rsidRPr="00BF21F6" w14:paraId="6B732E55" w14:textId="77777777" w:rsidTr="00192992">
        <w:tc>
          <w:tcPr>
            <w:tcW w:w="9350" w:type="dxa"/>
            <w:tcBorders>
              <w:top w:val="single" w:sz="24" w:space="0" w:color="auto"/>
              <w:left w:val="single" w:sz="4" w:space="0" w:color="auto"/>
              <w:bottom w:val="single" w:sz="4" w:space="0" w:color="auto"/>
              <w:right w:val="single" w:sz="4" w:space="0" w:color="auto"/>
            </w:tcBorders>
          </w:tcPr>
          <w:p w14:paraId="3213C3EA"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3B4FB137" w14:textId="77777777" w:rsidR="00BF21F6" w:rsidRPr="00BF21F6" w:rsidRDefault="00BF21F6" w:rsidP="00BF21F6">
            <w:pPr>
              <w:spacing w:after="0"/>
              <w:rPr>
                <w:rFonts w:eastAsia="Times New Roman"/>
                <w:szCs w:val="24"/>
              </w:rPr>
            </w:pPr>
          </w:p>
          <w:p w14:paraId="7B4E5036"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06682188"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63DAFFE6"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6397FBCF"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58A42B8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2D27F45A"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70D5EDA5"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5A0AC1AF"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69B54265"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69C10524"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2CEF17DC" w14:textId="77777777" w:rsidR="00BF21F6" w:rsidRPr="00BF21F6" w:rsidRDefault="00BF21F6" w:rsidP="00BF21F6">
            <w:pPr>
              <w:spacing w:after="0"/>
              <w:ind w:left="360"/>
              <w:rPr>
                <w:rFonts w:eastAsia="Times New Roman"/>
                <w:szCs w:val="24"/>
              </w:rPr>
            </w:pPr>
          </w:p>
        </w:tc>
      </w:tr>
      <w:tr w:rsidR="00BF21F6" w:rsidRPr="00BF21F6" w14:paraId="7B9258C1"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CC563CC"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5FA145D5" w14:textId="77777777" w:rsidTr="00192992">
        <w:tc>
          <w:tcPr>
            <w:tcW w:w="9350" w:type="dxa"/>
            <w:tcBorders>
              <w:top w:val="single" w:sz="4" w:space="0" w:color="auto"/>
              <w:left w:val="single" w:sz="4" w:space="0" w:color="auto"/>
              <w:bottom w:val="single" w:sz="4" w:space="0" w:color="auto"/>
              <w:right w:val="single" w:sz="4" w:space="0" w:color="auto"/>
            </w:tcBorders>
          </w:tcPr>
          <w:p w14:paraId="3863E78A" w14:textId="77777777" w:rsidR="00BF21F6" w:rsidRPr="00BF21F6" w:rsidRDefault="00BF21F6" w:rsidP="00BF21F6">
            <w:pPr>
              <w:spacing w:after="0"/>
              <w:rPr>
                <w:rFonts w:eastAsia="Times New Roman"/>
                <w:szCs w:val="24"/>
              </w:rPr>
            </w:pPr>
          </w:p>
          <w:p w14:paraId="6BB663AF" w14:textId="77777777" w:rsidR="00BF21F6" w:rsidRPr="00BF21F6" w:rsidRDefault="00BF21F6" w:rsidP="00BF21F6">
            <w:pPr>
              <w:spacing w:after="0"/>
              <w:rPr>
                <w:rFonts w:eastAsia="Times New Roman"/>
                <w:szCs w:val="24"/>
              </w:rPr>
            </w:pPr>
          </w:p>
          <w:p w14:paraId="4F1B2683" w14:textId="77777777" w:rsidR="00BF21F6" w:rsidRPr="00BF21F6" w:rsidRDefault="00BF21F6" w:rsidP="00BF21F6">
            <w:pPr>
              <w:spacing w:after="0"/>
              <w:rPr>
                <w:rFonts w:eastAsia="Times New Roman"/>
                <w:szCs w:val="24"/>
              </w:rPr>
            </w:pPr>
          </w:p>
        </w:tc>
      </w:tr>
    </w:tbl>
    <w:p w14:paraId="74E432CC" w14:textId="5263FD61" w:rsidR="00D64521" w:rsidRDefault="007154B8" w:rsidP="005A7B44">
      <w:pPr>
        <w:pStyle w:val="ItemHeading"/>
        <w:tabs>
          <w:tab w:val="clear" w:pos="900"/>
          <w:tab w:val="left" w:pos="1530"/>
        </w:tabs>
        <w:ind w:left="2160" w:hanging="2160"/>
        <w:rPr>
          <w:i/>
          <w:iCs w:val="0"/>
          <w:u w:val="single"/>
        </w:rPr>
      </w:pPr>
      <w:bookmarkStart w:id="47" w:name="_Toc143527708"/>
      <w:r>
        <w:t>LPG-24.1</w:t>
      </w:r>
      <w:r w:rsidR="005A7B44">
        <w:tab/>
      </w:r>
      <w:r w:rsidR="00D64521" w:rsidRPr="003C355F">
        <w:tab/>
      </w:r>
      <w:r w:rsidR="00E14A58">
        <w:rPr>
          <w:i/>
          <w:iCs w:val="0"/>
        </w:rPr>
        <w:t xml:space="preserve">S.1.5.7. </w:t>
      </w:r>
      <w:r w:rsidR="00E14A58" w:rsidRPr="00E14A58">
        <w:rPr>
          <w:i/>
          <w:iCs w:val="0"/>
          <w:strike/>
        </w:rPr>
        <w:t xml:space="preserve">Retail Motor </w:t>
      </w:r>
      <w:r w:rsidR="00E14A58" w:rsidRPr="00DA520D">
        <w:rPr>
          <w:i/>
          <w:iCs w:val="0"/>
          <w:strike/>
        </w:rPr>
        <w:t>Fuel Dispenser</w:t>
      </w:r>
      <w:r w:rsidR="00E14A58" w:rsidRPr="006C0BCB">
        <w:rPr>
          <w:i/>
          <w:iCs w:val="0"/>
          <w:u w:val="single"/>
        </w:rPr>
        <w:t>Liquefied Petroleum Gas Retail Motor Fuel Device.</w:t>
      </w:r>
      <w:r w:rsidR="00E14A58">
        <w:rPr>
          <w:i/>
          <w:iCs w:val="0"/>
        </w:rPr>
        <w:t xml:space="preserve">, </w:t>
      </w:r>
      <w:r w:rsidR="00CB5020">
        <w:rPr>
          <w:i/>
          <w:iCs w:val="0"/>
        </w:rPr>
        <w:t>S.2.6.</w:t>
      </w:r>
      <w:r w:rsidR="008B3C5E">
        <w:rPr>
          <w:i/>
          <w:iCs w:val="0"/>
        </w:rPr>
        <w:t>1</w:t>
      </w:r>
      <w:r w:rsidR="00CB5020">
        <w:rPr>
          <w:i/>
          <w:iCs w:val="0"/>
        </w:rPr>
        <w:t xml:space="preserve">. Electronic Stationary (Other than Stationary </w:t>
      </w:r>
      <w:r w:rsidR="002E76B9">
        <w:rPr>
          <w:i/>
          <w:iCs w:val="0"/>
          <w:strike/>
        </w:rPr>
        <w:t>Retail Motor Fuel Dispensers</w:t>
      </w:r>
      <w:r w:rsidR="008031F7">
        <w:rPr>
          <w:i/>
          <w:iCs w:val="0"/>
          <w:u w:val="single"/>
        </w:rPr>
        <w:t>Liquefied Petroleum Gas Retail Motor Fuel Device</w:t>
      </w:r>
      <w:r w:rsidR="008B3C5E">
        <w:rPr>
          <w:i/>
          <w:iCs w:val="0"/>
          <w:u w:val="single"/>
        </w:rPr>
        <w:t>)</w:t>
      </w:r>
      <w:r w:rsidR="004E56AE">
        <w:rPr>
          <w:i/>
          <w:iCs w:val="0"/>
          <w:u w:val="single"/>
        </w:rPr>
        <w:t>.</w:t>
      </w:r>
      <w:r w:rsidR="0000191B">
        <w:rPr>
          <w:i/>
          <w:iCs w:val="0"/>
        </w:rPr>
        <w:t xml:space="preserve"> S.6.2. Automatic Timeout Pay-at-Pump </w:t>
      </w:r>
      <w:r w:rsidR="005C54D5">
        <w:rPr>
          <w:i/>
          <w:iCs w:val="0"/>
          <w:strike/>
        </w:rPr>
        <w:t>Retail Motor Fuels Devices</w:t>
      </w:r>
      <w:r w:rsidR="00EB67B1">
        <w:rPr>
          <w:i/>
          <w:iCs w:val="0"/>
          <w:u w:val="single"/>
        </w:rPr>
        <w:t>Liquefied Petroleum Gas Retail Motor Fuel Device</w:t>
      </w:r>
      <w:r w:rsidR="00BB6717">
        <w:rPr>
          <w:i/>
          <w:iCs w:val="0"/>
          <w:u w:val="single"/>
        </w:rPr>
        <w:t>.</w:t>
      </w:r>
      <w:r w:rsidR="00CF774C">
        <w:t xml:space="preserve"> and, </w:t>
      </w:r>
      <w:r w:rsidR="00CF774C">
        <w:rPr>
          <w:i/>
          <w:iCs w:val="0"/>
        </w:rPr>
        <w:t>S.4.3.</w:t>
      </w:r>
      <w:r w:rsidR="00303272">
        <w:rPr>
          <w:i/>
          <w:iCs w:val="0"/>
        </w:rPr>
        <w:t xml:space="preserve"> Location of Marking Information: </w:t>
      </w:r>
      <w:r w:rsidR="00303272">
        <w:rPr>
          <w:i/>
          <w:iCs w:val="0"/>
          <w:strike/>
        </w:rPr>
        <w:t>Retail Motor Fuel Dispensers</w:t>
      </w:r>
      <w:r w:rsidR="00F32114">
        <w:rPr>
          <w:i/>
          <w:iCs w:val="0"/>
          <w:u w:val="single"/>
        </w:rPr>
        <w:t>Liquefied Petroleum Gas Retail Motor Fuel Device.</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6492CE00"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75FF775B" w14:textId="54257F8B" w:rsidR="00BF21F6" w:rsidRPr="00BF21F6" w:rsidRDefault="000172FE" w:rsidP="00BF21F6">
            <w:pPr>
              <w:spacing w:after="120"/>
              <w:jc w:val="center"/>
              <w:rPr>
                <w:rFonts w:eastAsia="Times New Roman"/>
                <w:b/>
                <w:szCs w:val="24"/>
              </w:rPr>
            </w:pPr>
            <w:r>
              <w:rPr>
                <w:rFonts w:eastAsia="Times New Roman"/>
                <w:b/>
                <w:szCs w:val="24"/>
              </w:rPr>
              <w:t>LPG-</w:t>
            </w:r>
            <w:r w:rsidR="005D2101">
              <w:rPr>
                <w:rFonts w:eastAsia="Times New Roman"/>
                <w:b/>
                <w:szCs w:val="24"/>
              </w:rPr>
              <w:t>24.1</w:t>
            </w:r>
          </w:p>
        </w:tc>
      </w:tr>
      <w:tr w:rsidR="00BF21F6" w:rsidRPr="00BF21F6" w14:paraId="178F8876" w14:textId="77777777" w:rsidTr="00192992">
        <w:tc>
          <w:tcPr>
            <w:tcW w:w="9350" w:type="dxa"/>
            <w:tcBorders>
              <w:top w:val="single" w:sz="24" w:space="0" w:color="auto"/>
              <w:left w:val="single" w:sz="4" w:space="0" w:color="auto"/>
              <w:bottom w:val="single" w:sz="4" w:space="0" w:color="auto"/>
              <w:right w:val="single" w:sz="4" w:space="0" w:color="auto"/>
            </w:tcBorders>
          </w:tcPr>
          <w:p w14:paraId="6EF5BE39"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648F83F2" w14:textId="77777777" w:rsidR="00BF21F6" w:rsidRPr="00BF21F6" w:rsidRDefault="00BF21F6" w:rsidP="00BF21F6">
            <w:pPr>
              <w:spacing w:after="0"/>
              <w:rPr>
                <w:rFonts w:eastAsia="Times New Roman"/>
                <w:szCs w:val="24"/>
              </w:rPr>
            </w:pPr>
          </w:p>
          <w:p w14:paraId="70C5C2D6"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6DD08978"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7436B900"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7264314E"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08C4645E"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714B1455"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6857E4D5"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0EF2A536"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0DB8B654"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0237605A"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21781A24" w14:textId="77777777" w:rsidR="00BF21F6" w:rsidRPr="00BF21F6" w:rsidRDefault="00BF21F6" w:rsidP="00BF21F6">
            <w:pPr>
              <w:spacing w:after="0"/>
              <w:ind w:left="360"/>
              <w:rPr>
                <w:rFonts w:eastAsia="Times New Roman"/>
                <w:szCs w:val="24"/>
              </w:rPr>
            </w:pPr>
          </w:p>
        </w:tc>
      </w:tr>
      <w:tr w:rsidR="00BF21F6" w:rsidRPr="00BF21F6" w14:paraId="68840FB9"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7872D5E1"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198E2811" w14:textId="77777777" w:rsidTr="00192992">
        <w:tc>
          <w:tcPr>
            <w:tcW w:w="9350" w:type="dxa"/>
            <w:tcBorders>
              <w:top w:val="single" w:sz="4" w:space="0" w:color="auto"/>
              <w:left w:val="single" w:sz="4" w:space="0" w:color="auto"/>
              <w:bottom w:val="single" w:sz="4" w:space="0" w:color="auto"/>
              <w:right w:val="single" w:sz="4" w:space="0" w:color="auto"/>
            </w:tcBorders>
          </w:tcPr>
          <w:p w14:paraId="2D5C1722" w14:textId="77777777" w:rsidR="00BF21F6" w:rsidRPr="00BF21F6" w:rsidRDefault="00BF21F6" w:rsidP="00BF21F6">
            <w:pPr>
              <w:spacing w:after="0"/>
              <w:rPr>
                <w:rFonts w:eastAsia="Times New Roman"/>
                <w:szCs w:val="24"/>
              </w:rPr>
            </w:pPr>
          </w:p>
          <w:p w14:paraId="40F02E8C" w14:textId="77777777" w:rsidR="00BF21F6" w:rsidRPr="00BF21F6" w:rsidRDefault="00BF21F6" w:rsidP="00BF21F6">
            <w:pPr>
              <w:spacing w:after="0"/>
              <w:rPr>
                <w:rFonts w:eastAsia="Times New Roman"/>
                <w:szCs w:val="24"/>
              </w:rPr>
            </w:pPr>
          </w:p>
          <w:p w14:paraId="5936775E" w14:textId="77777777" w:rsidR="00BF21F6" w:rsidRPr="00BF21F6" w:rsidRDefault="00BF21F6" w:rsidP="00BF21F6">
            <w:pPr>
              <w:spacing w:after="0"/>
              <w:rPr>
                <w:rFonts w:eastAsia="Times New Roman"/>
                <w:szCs w:val="24"/>
              </w:rPr>
            </w:pPr>
          </w:p>
        </w:tc>
      </w:tr>
    </w:tbl>
    <w:p w14:paraId="72A91694" w14:textId="216E854F" w:rsidR="002B4C71" w:rsidRDefault="002B4C71" w:rsidP="002B4C71">
      <w:pPr>
        <w:pStyle w:val="ItemHeading"/>
        <w:tabs>
          <w:tab w:val="clear" w:pos="900"/>
          <w:tab w:val="left" w:pos="1530"/>
        </w:tabs>
        <w:ind w:left="2160" w:hanging="2160"/>
        <w:rPr>
          <w:u w:val="single"/>
        </w:rPr>
      </w:pPr>
      <w:bookmarkStart w:id="48" w:name="_Toc143527709"/>
      <w:r>
        <w:lastRenderedPageBreak/>
        <w:t>LPG-24.2</w:t>
      </w:r>
      <w:r w:rsidRPr="003C355F">
        <w:tab/>
      </w:r>
      <w:r w:rsidRPr="003C355F">
        <w:tab/>
      </w:r>
      <w:r w:rsidR="00E957A0" w:rsidRPr="00DE597F">
        <w:rPr>
          <w:i/>
          <w:iCs w:val="0"/>
          <w:strike/>
        </w:rPr>
        <w:t>S.2.5. Zero-Set-Back Interlock</w:t>
      </w:r>
      <w:r w:rsidR="00DE597F" w:rsidRPr="00DE597F">
        <w:rPr>
          <w:i/>
          <w:iCs w:val="0"/>
          <w:strike/>
        </w:rPr>
        <w:t>.</w:t>
      </w:r>
      <w:r w:rsidR="00DE597F">
        <w:t xml:space="preserve"> </w:t>
      </w:r>
      <w:r w:rsidR="00DE597F" w:rsidRPr="00DE597F">
        <w:rPr>
          <w:u w:val="single"/>
        </w:rPr>
        <w:t>S.2.5. Zero-Set-Back Interlock.</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385363D1"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71ADEC69" w14:textId="2C359541" w:rsidR="00BF21F6" w:rsidRPr="00BF21F6" w:rsidRDefault="005D2101" w:rsidP="00BF21F6">
            <w:pPr>
              <w:spacing w:after="120"/>
              <w:jc w:val="center"/>
              <w:rPr>
                <w:rFonts w:eastAsia="Times New Roman"/>
                <w:b/>
                <w:szCs w:val="24"/>
              </w:rPr>
            </w:pPr>
            <w:r>
              <w:rPr>
                <w:rFonts w:eastAsia="Times New Roman"/>
                <w:b/>
                <w:szCs w:val="24"/>
              </w:rPr>
              <w:t>LPG-24.2</w:t>
            </w:r>
          </w:p>
        </w:tc>
      </w:tr>
      <w:tr w:rsidR="00BF21F6" w:rsidRPr="00BF21F6" w14:paraId="65E05F63" w14:textId="77777777" w:rsidTr="00192992">
        <w:tc>
          <w:tcPr>
            <w:tcW w:w="9350" w:type="dxa"/>
            <w:tcBorders>
              <w:top w:val="single" w:sz="24" w:space="0" w:color="auto"/>
              <w:left w:val="single" w:sz="4" w:space="0" w:color="auto"/>
              <w:bottom w:val="single" w:sz="4" w:space="0" w:color="auto"/>
              <w:right w:val="single" w:sz="4" w:space="0" w:color="auto"/>
            </w:tcBorders>
          </w:tcPr>
          <w:p w14:paraId="72292383"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2F444995" w14:textId="77777777" w:rsidR="00BF21F6" w:rsidRPr="00BF21F6" w:rsidRDefault="00BF21F6" w:rsidP="00BF21F6">
            <w:pPr>
              <w:spacing w:after="0"/>
              <w:rPr>
                <w:rFonts w:eastAsia="Times New Roman"/>
                <w:szCs w:val="24"/>
              </w:rPr>
            </w:pPr>
          </w:p>
          <w:p w14:paraId="69C7AFAB"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2CAB2B75"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3DAEF667"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7C2FB185"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4CBA2EEE"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1DA744CB"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3506DB8A"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63211506"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0730637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6665AA38"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65401131" w14:textId="77777777" w:rsidR="00BF21F6" w:rsidRPr="00BF21F6" w:rsidRDefault="00BF21F6" w:rsidP="00BF21F6">
            <w:pPr>
              <w:spacing w:after="0"/>
              <w:ind w:left="360"/>
              <w:rPr>
                <w:rFonts w:eastAsia="Times New Roman"/>
                <w:szCs w:val="24"/>
              </w:rPr>
            </w:pPr>
          </w:p>
        </w:tc>
      </w:tr>
      <w:tr w:rsidR="00BF21F6" w:rsidRPr="00BF21F6" w14:paraId="17FA128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6BB849F4"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18F717C1" w14:textId="77777777" w:rsidTr="00192992">
        <w:tc>
          <w:tcPr>
            <w:tcW w:w="9350" w:type="dxa"/>
            <w:tcBorders>
              <w:top w:val="single" w:sz="4" w:space="0" w:color="auto"/>
              <w:left w:val="single" w:sz="4" w:space="0" w:color="auto"/>
              <w:bottom w:val="single" w:sz="4" w:space="0" w:color="auto"/>
              <w:right w:val="single" w:sz="4" w:space="0" w:color="auto"/>
            </w:tcBorders>
          </w:tcPr>
          <w:p w14:paraId="6FA656E7" w14:textId="77777777" w:rsidR="00BF21F6" w:rsidRPr="00BF21F6" w:rsidRDefault="00BF21F6" w:rsidP="00BF21F6">
            <w:pPr>
              <w:spacing w:after="0"/>
              <w:rPr>
                <w:rFonts w:eastAsia="Times New Roman"/>
                <w:szCs w:val="24"/>
              </w:rPr>
            </w:pPr>
          </w:p>
          <w:p w14:paraId="5B60D826" w14:textId="77777777" w:rsidR="00BF21F6" w:rsidRPr="00BF21F6" w:rsidRDefault="00BF21F6" w:rsidP="00BF21F6">
            <w:pPr>
              <w:spacing w:after="0"/>
              <w:rPr>
                <w:rFonts w:eastAsia="Times New Roman"/>
                <w:szCs w:val="24"/>
              </w:rPr>
            </w:pPr>
          </w:p>
          <w:p w14:paraId="2D5109F0" w14:textId="77777777" w:rsidR="00BF21F6" w:rsidRPr="00BF21F6" w:rsidRDefault="00BF21F6" w:rsidP="00BF21F6">
            <w:pPr>
              <w:spacing w:after="0"/>
              <w:rPr>
                <w:rFonts w:eastAsia="Times New Roman"/>
                <w:szCs w:val="24"/>
              </w:rPr>
            </w:pPr>
          </w:p>
        </w:tc>
      </w:tr>
    </w:tbl>
    <w:p w14:paraId="706651F5" w14:textId="6D4CCB01" w:rsidR="00C12FA1" w:rsidRDefault="001C08E2" w:rsidP="00C12FA1">
      <w:pPr>
        <w:pStyle w:val="Heading1"/>
      </w:pPr>
      <w:bookmarkStart w:id="49" w:name="_Toc143527710"/>
      <w:r>
        <w:rPr>
          <w:caps w:val="0"/>
        </w:rPr>
        <w:t>MLK</w:t>
      </w:r>
      <w:r w:rsidRPr="004303DA">
        <w:rPr>
          <w:caps w:val="0"/>
        </w:rPr>
        <w:t xml:space="preserve"> – </w:t>
      </w:r>
      <w:r>
        <w:rPr>
          <w:caps w:val="0"/>
        </w:rPr>
        <w:t>MILK METERS</w:t>
      </w:r>
      <w:bookmarkEnd w:id="49"/>
    </w:p>
    <w:p w14:paraId="7E28E41E" w14:textId="424CCA9B" w:rsidR="00C12FA1" w:rsidRDefault="00C12FA1" w:rsidP="00C12FA1">
      <w:pPr>
        <w:pStyle w:val="ItemHeading"/>
        <w:tabs>
          <w:tab w:val="clear" w:pos="900"/>
          <w:tab w:val="left" w:pos="1710"/>
        </w:tabs>
        <w:ind w:left="2160" w:hanging="2160"/>
      </w:pPr>
      <w:bookmarkStart w:id="50" w:name="_Toc143527711"/>
      <w:r>
        <w:t>MLK-23.</w:t>
      </w:r>
      <w:r w:rsidR="001253E5">
        <w:t>2</w:t>
      </w:r>
      <w:r w:rsidRPr="00281428">
        <w:tab/>
      </w:r>
      <w:r w:rsidR="00530152">
        <w:t>A</w:t>
      </w:r>
      <w:r>
        <w:tab/>
      </w:r>
      <w:r w:rsidR="00A97DC9">
        <w:t>Table T.1. Tolerances for Milk Meters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30389050"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449D9E2" w14:textId="6F59C9A1" w:rsidR="00BF21F6" w:rsidRPr="00BF21F6" w:rsidRDefault="005D2101" w:rsidP="00BF21F6">
            <w:pPr>
              <w:spacing w:after="120"/>
              <w:jc w:val="center"/>
              <w:rPr>
                <w:rFonts w:eastAsia="Times New Roman"/>
                <w:b/>
                <w:szCs w:val="24"/>
              </w:rPr>
            </w:pPr>
            <w:r>
              <w:rPr>
                <w:rFonts w:eastAsia="Times New Roman"/>
                <w:b/>
                <w:szCs w:val="24"/>
              </w:rPr>
              <w:t>MLK-23.2</w:t>
            </w:r>
          </w:p>
        </w:tc>
      </w:tr>
      <w:tr w:rsidR="00BF21F6" w:rsidRPr="00BF21F6" w14:paraId="7006D200" w14:textId="77777777" w:rsidTr="00192992">
        <w:tc>
          <w:tcPr>
            <w:tcW w:w="9350" w:type="dxa"/>
            <w:tcBorders>
              <w:top w:val="single" w:sz="24" w:space="0" w:color="auto"/>
              <w:left w:val="single" w:sz="4" w:space="0" w:color="auto"/>
              <w:bottom w:val="single" w:sz="4" w:space="0" w:color="auto"/>
              <w:right w:val="single" w:sz="4" w:space="0" w:color="auto"/>
            </w:tcBorders>
          </w:tcPr>
          <w:p w14:paraId="05052568"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3178C02D" w14:textId="77777777" w:rsidR="00BF21F6" w:rsidRPr="00BF21F6" w:rsidRDefault="00BF21F6" w:rsidP="00BF21F6">
            <w:pPr>
              <w:spacing w:after="0"/>
              <w:rPr>
                <w:rFonts w:eastAsia="Times New Roman"/>
                <w:szCs w:val="24"/>
              </w:rPr>
            </w:pPr>
          </w:p>
          <w:p w14:paraId="00715D70"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181A320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3FFF2EE9"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3BB76E3C"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070CBDD4"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0EDB332E"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0A4711EE"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63877D00"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5FD342EA"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46BAE3A6"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0ABC2C94" w14:textId="77777777" w:rsidR="00BF21F6" w:rsidRPr="00BF21F6" w:rsidRDefault="00BF21F6" w:rsidP="00BF21F6">
            <w:pPr>
              <w:spacing w:after="0"/>
              <w:ind w:left="360"/>
              <w:rPr>
                <w:rFonts w:eastAsia="Times New Roman"/>
                <w:szCs w:val="24"/>
              </w:rPr>
            </w:pPr>
          </w:p>
        </w:tc>
      </w:tr>
      <w:tr w:rsidR="00BF21F6" w:rsidRPr="00BF21F6" w14:paraId="068EFCF5"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0B33898"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6B4E6C21" w14:textId="77777777" w:rsidTr="00192992">
        <w:tc>
          <w:tcPr>
            <w:tcW w:w="9350" w:type="dxa"/>
            <w:tcBorders>
              <w:top w:val="single" w:sz="4" w:space="0" w:color="auto"/>
              <w:left w:val="single" w:sz="4" w:space="0" w:color="auto"/>
              <w:bottom w:val="single" w:sz="4" w:space="0" w:color="auto"/>
              <w:right w:val="single" w:sz="4" w:space="0" w:color="auto"/>
            </w:tcBorders>
          </w:tcPr>
          <w:p w14:paraId="368AFF66" w14:textId="77777777" w:rsidR="00BF21F6" w:rsidRPr="00BF21F6" w:rsidRDefault="00BF21F6" w:rsidP="00BF21F6">
            <w:pPr>
              <w:spacing w:after="0"/>
              <w:rPr>
                <w:rFonts w:eastAsia="Times New Roman"/>
                <w:szCs w:val="24"/>
              </w:rPr>
            </w:pPr>
          </w:p>
          <w:p w14:paraId="0D74AEF8" w14:textId="77777777" w:rsidR="00BF21F6" w:rsidRPr="00BF21F6" w:rsidRDefault="00BF21F6" w:rsidP="00BF21F6">
            <w:pPr>
              <w:spacing w:after="0"/>
              <w:rPr>
                <w:rFonts w:eastAsia="Times New Roman"/>
                <w:szCs w:val="24"/>
              </w:rPr>
            </w:pPr>
          </w:p>
          <w:p w14:paraId="50691B70" w14:textId="77777777" w:rsidR="00BF21F6" w:rsidRPr="00BF21F6" w:rsidRDefault="00BF21F6" w:rsidP="00BF21F6">
            <w:pPr>
              <w:spacing w:after="0"/>
              <w:rPr>
                <w:rFonts w:eastAsia="Times New Roman"/>
                <w:szCs w:val="24"/>
              </w:rPr>
            </w:pPr>
          </w:p>
        </w:tc>
      </w:tr>
    </w:tbl>
    <w:p w14:paraId="1B48D5E9" w14:textId="754A5457" w:rsidR="00A27577" w:rsidRDefault="001C08E2" w:rsidP="00A27577">
      <w:pPr>
        <w:pStyle w:val="Heading1"/>
      </w:pPr>
      <w:bookmarkStart w:id="51" w:name="_Toc143527712"/>
      <w:r>
        <w:rPr>
          <w:caps w:val="0"/>
        </w:rPr>
        <w:lastRenderedPageBreak/>
        <w:t>HGM – HYDROGEN GAS-MEASURING DEVICES</w:t>
      </w:r>
      <w:bookmarkEnd w:id="51"/>
    </w:p>
    <w:p w14:paraId="48895F6E" w14:textId="10A8E59A" w:rsidR="00A27577" w:rsidRDefault="00A27577" w:rsidP="00884089">
      <w:pPr>
        <w:pStyle w:val="ItemHeading"/>
        <w:keepNext/>
        <w:rPr>
          <w:u w:val="single"/>
        </w:rPr>
      </w:pPr>
      <w:bookmarkStart w:id="52" w:name="_Toc143527713"/>
      <w:r>
        <w:t>HGM-23.1</w:t>
      </w:r>
      <w:r>
        <w:tab/>
      </w:r>
      <w:r w:rsidR="00530152">
        <w:t>D</w:t>
      </w:r>
      <w:r>
        <w:tab/>
      </w:r>
      <w:r w:rsidRPr="00B462CE">
        <w:rPr>
          <w:u w:val="single"/>
        </w:rPr>
        <w:t>UR.3.8. Safety Requirement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71DF02F6"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2F8A90BA" w14:textId="042FD806" w:rsidR="00BF21F6" w:rsidRPr="00BF21F6" w:rsidRDefault="005D2101" w:rsidP="00BF21F6">
            <w:pPr>
              <w:spacing w:after="120"/>
              <w:jc w:val="center"/>
              <w:rPr>
                <w:rFonts w:eastAsia="Times New Roman"/>
                <w:b/>
                <w:szCs w:val="24"/>
              </w:rPr>
            </w:pPr>
            <w:r>
              <w:rPr>
                <w:rFonts w:eastAsia="Times New Roman"/>
                <w:b/>
                <w:szCs w:val="24"/>
              </w:rPr>
              <w:t>HGM-23.1</w:t>
            </w:r>
          </w:p>
        </w:tc>
      </w:tr>
      <w:tr w:rsidR="00BF21F6" w:rsidRPr="00BF21F6" w14:paraId="0F3A99A6" w14:textId="77777777" w:rsidTr="00192992">
        <w:tc>
          <w:tcPr>
            <w:tcW w:w="9350" w:type="dxa"/>
            <w:tcBorders>
              <w:top w:val="single" w:sz="24" w:space="0" w:color="auto"/>
              <w:left w:val="single" w:sz="4" w:space="0" w:color="auto"/>
              <w:bottom w:val="single" w:sz="4" w:space="0" w:color="auto"/>
              <w:right w:val="single" w:sz="4" w:space="0" w:color="auto"/>
            </w:tcBorders>
          </w:tcPr>
          <w:p w14:paraId="13819DF1"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6E94E2B7" w14:textId="77777777" w:rsidR="00BF21F6" w:rsidRPr="00BF21F6" w:rsidRDefault="00BF21F6" w:rsidP="00BF21F6">
            <w:pPr>
              <w:spacing w:after="0"/>
              <w:rPr>
                <w:rFonts w:eastAsia="Times New Roman"/>
                <w:szCs w:val="24"/>
              </w:rPr>
            </w:pPr>
          </w:p>
          <w:p w14:paraId="60CA8136"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53CBE2D6"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4FCA0D00"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15618A00"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59F7E309"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15CDC396"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11D519E0"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374E6BAF"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5685F316"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6BCB7D03"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7887DD1D" w14:textId="77777777" w:rsidR="00BF21F6" w:rsidRPr="00BF21F6" w:rsidRDefault="00BF21F6" w:rsidP="00BF21F6">
            <w:pPr>
              <w:spacing w:after="0"/>
              <w:ind w:left="360"/>
              <w:rPr>
                <w:rFonts w:eastAsia="Times New Roman"/>
                <w:szCs w:val="24"/>
              </w:rPr>
            </w:pPr>
          </w:p>
        </w:tc>
      </w:tr>
      <w:tr w:rsidR="00BF21F6" w:rsidRPr="00BF21F6" w14:paraId="6B9746F2"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56252F60"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3912FFD2" w14:textId="77777777" w:rsidTr="00192992">
        <w:tc>
          <w:tcPr>
            <w:tcW w:w="9350" w:type="dxa"/>
            <w:tcBorders>
              <w:top w:val="single" w:sz="4" w:space="0" w:color="auto"/>
              <w:left w:val="single" w:sz="4" w:space="0" w:color="auto"/>
              <w:bottom w:val="single" w:sz="4" w:space="0" w:color="auto"/>
              <w:right w:val="single" w:sz="4" w:space="0" w:color="auto"/>
            </w:tcBorders>
          </w:tcPr>
          <w:p w14:paraId="2589A049" w14:textId="77777777" w:rsidR="00BF21F6" w:rsidRPr="00BF21F6" w:rsidRDefault="00BF21F6" w:rsidP="00BF21F6">
            <w:pPr>
              <w:spacing w:after="0"/>
              <w:rPr>
                <w:rFonts w:eastAsia="Times New Roman"/>
                <w:szCs w:val="24"/>
              </w:rPr>
            </w:pPr>
          </w:p>
          <w:p w14:paraId="2BD6D96D" w14:textId="77777777" w:rsidR="00BF21F6" w:rsidRPr="00BF21F6" w:rsidRDefault="00BF21F6" w:rsidP="00BF21F6">
            <w:pPr>
              <w:spacing w:after="0"/>
              <w:rPr>
                <w:rFonts w:eastAsia="Times New Roman"/>
                <w:szCs w:val="24"/>
              </w:rPr>
            </w:pPr>
          </w:p>
          <w:p w14:paraId="6C5FFA52" w14:textId="77777777" w:rsidR="00BF21F6" w:rsidRPr="00BF21F6" w:rsidRDefault="00BF21F6" w:rsidP="00BF21F6">
            <w:pPr>
              <w:spacing w:after="0"/>
              <w:rPr>
                <w:rFonts w:eastAsia="Times New Roman"/>
                <w:szCs w:val="24"/>
              </w:rPr>
            </w:pPr>
          </w:p>
        </w:tc>
      </w:tr>
    </w:tbl>
    <w:p w14:paraId="07852BF3" w14:textId="234451BC" w:rsidR="00E60B65" w:rsidRPr="004303DA" w:rsidRDefault="001C08E2" w:rsidP="00C40FCB">
      <w:pPr>
        <w:pStyle w:val="Heading1"/>
        <w:rPr>
          <w:rFonts w:eastAsia="Calibri"/>
          <w:szCs w:val="22"/>
        </w:rPr>
      </w:pPr>
      <w:bookmarkStart w:id="53" w:name="_Toc143527714"/>
      <w:r w:rsidRPr="004303DA">
        <w:t xml:space="preserve">EVF – </w:t>
      </w:r>
      <w:r w:rsidRPr="00871B7D">
        <w:t>ELECTRIC</w:t>
      </w:r>
      <w:r w:rsidRPr="004303DA">
        <w:t xml:space="preserve"> VEHICLE FUELING SYSTEMS</w:t>
      </w:r>
      <w:bookmarkEnd w:id="42"/>
      <w:bookmarkEnd w:id="53"/>
    </w:p>
    <w:p w14:paraId="320078C7" w14:textId="7BF80D49" w:rsidR="0071783E" w:rsidRDefault="00803D57" w:rsidP="00803D57">
      <w:pPr>
        <w:pStyle w:val="ItemHeading"/>
        <w:tabs>
          <w:tab w:val="clear" w:pos="900"/>
          <w:tab w:val="left" w:pos="1530"/>
        </w:tabs>
        <w:ind w:left="2160" w:hanging="2160"/>
        <w:rPr>
          <w:u w:val="single"/>
        </w:rPr>
      </w:pPr>
      <w:bookmarkStart w:id="54" w:name="_Toc143527715"/>
      <w:bookmarkStart w:id="55" w:name="_Toc17469163"/>
      <w:bookmarkStart w:id="56" w:name="_Toc32502679"/>
      <w:bookmarkEnd w:id="43"/>
      <w:r>
        <w:t>EVF-24.1</w:t>
      </w:r>
      <w:r w:rsidR="0071783E" w:rsidRPr="003C355F">
        <w:tab/>
      </w:r>
      <w:r w:rsidR="0071783E" w:rsidRPr="003C355F">
        <w:tab/>
      </w:r>
      <w:r w:rsidR="005C766F">
        <w:rPr>
          <w:u w:val="single"/>
        </w:rPr>
        <w:t>S.1.3. Mobile Device as Indicating Element for AC Chargers</w:t>
      </w:r>
      <w:r w:rsidR="00B42D38">
        <w:rPr>
          <w:u w:val="single"/>
        </w:rPr>
        <w:t>.</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4991B65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025D1F98" w14:textId="2E7BD40E" w:rsidR="00BF21F6" w:rsidRPr="00BF21F6" w:rsidRDefault="005D2101" w:rsidP="00BF21F6">
            <w:pPr>
              <w:spacing w:after="120"/>
              <w:jc w:val="center"/>
              <w:rPr>
                <w:rFonts w:eastAsia="Times New Roman"/>
                <w:b/>
                <w:szCs w:val="24"/>
              </w:rPr>
            </w:pPr>
            <w:r>
              <w:rPr>
                <w:rFonts w:eastAsia="Times New Roman"/>
                <w:b/>
                <w:szCs w:val="24"/>
              </w:rPr>
              <w:t>EVF-24.1</w:t>
            </w:r>
          </w:p>
        </w:tc>
      </w:tr>
      <w:tr w:rsidR="00BF21F6" w:rsidRPr="00BF21F6" w14:paraId="1A8CE235" w14:textId="77777777" w:rsidTr="00192992">
        <w:tc>
          <w:tcPr>
            <w:tcW w:w="9350" w:type="dxa"/>
            <w:tcBorders>
              <w:top w:val="single" w:sz="24" w:space="0" w:color="auto"/>
              <w:left w:val="single" w:sz="4" w:space="0" w:color="auto"/>
              <w:bottom w:val="single" w:sz="4" w:space="0" w:color="auto"/>
              <w:right w:val="single" w:sz="4" w:space="0" w:color="auto"/>
            </w:tcBorders>
          </w:tcPr>
          <w:p w14:paraId="760D7402"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7D287559" w14:textId="77777777" w:rsidR="00BF21F6" w:rsidRPr="00BF21F6" w:rsidRDefault="00BF21F6" w:rsidP="00BF21F6">
            <w:pPr>
              <w:spacing w:after="0"/>
              <w:rPr>
                <w:rFonts w:eastAsia="Times New Roman"/>
                <w:szCs w:val="24"/>
              </w:rPr>
            </w:pPr>
          </w:p>
          <w:p w14:paraId="142AC4A8"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47C7151B"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3B818FDD"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7478F011"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5E9EB3C3"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096315C9"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3947809C"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071DAA2E"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18166175"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2DA58891"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4274EBF5" w14:textId="77777777" w:rsidR="00BF21F6" w:rsidRPr="00BF21F6" w:rsidRDefault="00BF21F6" w:rsidP="00BF21F6">
            <w:pPr>
              <w:spacing w:after="0"/>
              <w:ind w:left="360"/>
              <w:rPr>
                <w:rFonts w:eastAsia="Times New Roman"/>
                <w:szCs w:val="24"/>
              </w:rPr>
            </w:pPr>
          </w:p>
        </w:tc>
      </w:tr>
      <w:tr w:rsidR="00BF21F6" w:rsidRPr="00BF21F6" w14:paraId="7FA80D5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29CEDAAE"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5D7D0BF4" w14:textId="77777777" w:rsidTr="00192992">
        <w:tc>
          <w:tcPr>
            <w:tcW w:w="9350" w:type="dxa"/>
            <w:tcBorders>
              <w:top w:val="single" w:sz="4" w:space="0" w:color="auto"/>
              <w:left w:val="single" w:sz="4" w:space="0" w:color="auto"/>
              <w:bottom w:val="single" w:sz="4" w:space="0" w:color="auto"/>
              <w:right w:val="single" w:sz="4" w:space="0" w:color="auto"/>
            </w:tcBorders>
          </w:tcPr>
          <w:p w14:paraId="6D15A5EA" w14:textId="77777777" w:rsidR="00BF21F6" w:rsidRPr="00BF21F6" w:rsidRDefault="00BF21F6" w:rsidP="00BF21F6">
            <w:pPr>
              <w:spacing w:after="0"/>
              <w:rPr>
                <w:rFonts w:eastAsia="Times New Roman"/>
                <w:szCs w:val="24"/>
              </w:rPr>
            </w:pPr>
          </w:p>
          <w:p w14:paraId="728AE908" w14:textId="77777777" w:rsidR="00BF21F6" w:rsidRPr="00BF21F6" w:rsidRDefault="00BF21F6" w:rsidP="00BF21F6">
            <w:pPr>
              <w:spacing w:after="0"/>
              <w:rPr>
                <w:rFonts w:eastAsia="Times New Roman"/>
                <w:szCs w:val="24"/>
              </w:rPr>
            </w:pPr>
          </w:p>
          <w:p w14:paraId="561ACED1" w14:textId="77777777" w:rsidR="00BF21F6" w:rsidRPr="00BF21F6" w:rsidRDefault="00BF21F6" w:rsidP="00BF21F6">
            <w:pPr>
              <w:spacing w:after="0"/>
              <w:rPr>
                <w:rFonts w:eastAsia="Times New Roman"/>
                <w:szCs w:val="24"/>
              </w:rPr>
            </w:pPr>
          </w:p>
        </w:tc>
      </w:tr>
    </w:tbl>
    <w:p w14:paraId="2970B337" w14:textId="3510111F" w:rsidR="009F5502" w:rsidRPr="003C355F" w:rsidRDefault="00E71BCB" w:rsidP="00FE2E49">
      <w:pPr>
        <w:pStyle w:val="ItemHeading"/>
        <w:keepNext/>
        <w:keepLines/>
        <w:tabs>
          <w:tab w:val="clear" w:pos="900"/>
          <w:tab w:val="left" w:pos="1530"/>
        </w:tabs>
        <w:ind w:left="2160" w:hanging="2160"/>
      </w:pPr>
      <w:bookmarkStart w:id="57" w:name="_Toc143527716"/>
      <w:r>
        <w:lastRenderedPageBreak/>
        <w:t>EVF-24.2</w:t>
      </w:r>
      <w:r w:rsidR="009F5502" w:rsidRPr="003C355F">
        <w:tab/>
      </w:r>
      <w:r w:rsidR="009F5502" w:rsidRPr="003C355F">
        <w:tab/>
      </w:r>
      <w:r>
        <w:t>S.2.7. Indication of Delivery, N.5.2. Accuracy Testing., and T.2.1. EVSE Load Test Differences.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338738D4"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3D8507C0" w14:textId="324D4361" w:rsidR="00BF21F6" w:rsidRPr="00BF21F6" w:rsidRDefault="005D2101" w:rsidP="00FE2E49">
            <w:pPr>
              <w:keepNext/>
              <w:keepLines/>
              <w:spacing w:after="120"/>
              <w:jc w:val="center"/>
              <w:rPr>
                <w:rFonts w:eastAsia="Times New Roman"/>
                <w:b/>
                <w:szCs w:val="24"/>
              </w:rPr>
            </w:pPr>
            <w:r>
              <w:rPr>
                <w:rFonts w:eastAsia="Times New Roman"/>
                <w:b/>
                <w:szCs w:val="24"/>
              </w:rPr>
              <w:t>EVF-</w:t>
            </w:r>
            <w:r w:rsidR="00730B8E">
              <w:rPr>
                <w:rFonts w:eastAsia="Times New Roman"/>
                <w:b/>
                <w:szCs w:val="24"/>
              </w:rPr>
              <w:t>24.2</w:t>
            </w:r>
          </w:p>
        </w:tc>
      </w:tr>
      <w:tr w:rsidR="00BF21F6" w:rsidRPr="00BF21F6" w14:paraId="3728F547" w14:textId="77777777" w:rsidTr="00192992">
        <w:tc>
          <w:tcPr>
            <w:tcW w:w="9350" w:type="dxa"/>
            <w:tcBorders>
              <w:top w:val="single" w:sz="24" w:space="0" w:color="auto"/>
              <w:left w:val="single" w:sz="4" w:space="0" w:color="auto"/>
              <w:bottom w:val="single" w:sz="4" w:space="0" w:color="auto"/>
              <w:right w:val="single" w:sz="4" w:space="0" w:color="auto"/>
            </w:tcBorders>
          </w:tcPr>
          <w:p w14:paraId="659BDBF4"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27520FA9" w14:textId="77777777" w:rsidR="00BF21F6" w:rsidRPr="00BF21F6" w:rsidRDefault="00BF21F6" w:rsidP="00FE2E49">
            <w:pPr>
              <w:keepNext/>
              <w:keepLines/>
              <w:spacing w:after="0"/>
              <w:rPr>
                <w:rFonts w:eastAsia="Times New Roman"/>
                <w:szCs w:val="24"/>
              </w:rPr>
            </w:pPr>
          </w:p>
          <w:p w14:paraId="122F8F14"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4590AD16"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5A4CEF05"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547A7E56"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7A4D9C2E"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0E6D82FB"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1A468AD0"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1F4806CF"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293A0459"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31C5994F"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0497306A" w14:textId="77777777" w:rsidR="00BF21F6" w:rsidRPr="00BF21F6" w:rsidRDefault="00BF21F6" w:rsidP="00FE2E49">
            <w:pPr>
              <w:keepNext/>
              <w:keepLines/>
              <w:spacing w:after="0"/>
              <w:ind w:left="360"/>
              <w:rPr>
                <w:rFonts w:eastAsia="Times New Roman"/>
                <w:szCs w:val="24"/>
              </w:rPr>
            </w:pPr>
          </w:p>
        </w:tc>
      </w:tr>
      <w:tr w:rsidR="00BF21F6" w:rsidRPr="00BF21F6" w14:paraId="42230E1E"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3956630F"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1889FB6A" w14:textId="77777777" w:rsidTr="00192992">
        <w:tc>
          <w:tcPr>
            <w:tcW w:w="9350" w:type="dxa"/>
            <w:tcBorders>
              <w:top w:val="single" w:sz="4" w:space="0" w:color="auto"/>
              <w:left w:val="single" w:sz="4" w:space="0" w:color="auto"/>
              <w:bottom w:val="single" w:sz="4" w:space="0" w:color="auto"/>
              <w:right w:val="single" w:sz="4" w:space="0" w:color="auto"/>
            </w:tcBorders>
          </w:tcPr>
          <w:p w14:paraId="55E15C4E" w14:textId="77777777" w:rsidR="00BF21F6" w:rsidRPr="00BF21F6" w:rsidRDefault="00BF21F6" w:rsidP="00FE2E49">
            <w:pPr>
              <w:keepNext/>
              <w:keepLines/>
              <w:spacing w:after="0"/>
              <w:rPr>
                <w:rFonts w:eastAsia="Times New Roman"/>
                <w:szCs w:val="24"/>
              </w:rPr>
            </w:pPr>
          </w:p>
          <w:p w14:paraId="419EFA25" w14:textId="77777777" w:rsidR="00BF21F6" w:rsidRPr="00BF21F6" w:rsidRDefault="00BF21F6" w:rsidP="00FE2E49">
            <w:pPr>
              <w:keepNext/>
              <w:keepLines/>
              <w:spacing w:after="0"/>
              <w:rPr>
                <w:rFonts w:eastAsia="Times New Roman"/>
                <w:szCs w:val="24"/>
              </w:rPr>
            </w:pPr>
          </w:p>
          <w:p w14:paraId="0AEF472B" w14:textId="77777777" w:rsidR="00BF21F6" w:rsidRPr="00BF21F6" w:rsidRDefault="00BF21F6" w:rsidP="00FE2E49">
            <w:pPr>
              <w:keepNext/>
              <w:keepLines/>
              <w:spacing w:after="0"/>
              <w:rPr>
                <w:rFonts w:eastAsia="Times New Roman"/>
                <w:szCs w:val="24"/>
              </w:rPr>
            </w:pPr>
          </w:p>
        </w:tc>
      </w:tr>
    </w:tbl>
    <w:p w14:paraId="6397FD8D" w14:textId="77777777" w:rsidR="009F5502" w:rsidRDefault="009F5502" w:rsidP="009F5502">
      <w:pPr>
        <w:spacing w:after="0"/>
      </w:pPr>
    </w:p>
    <w:p w14:paraId="59E44CE1" w14:textId="5DC11063" w:rsidR="007B34F6" w:rsidRDefault="007B34F6" w:rsidP="00E57B3A">
      <w:pPr>
        <w:pStyle w:val="ItemHeading"/>
        <w:tabs>
          <w:tab w:val="clear" w:pos="900"/>
          <w:tab w:val="left" w:pos="1440"/>
          <w:tab w:val="left" w:pos="2160"/>
        </w:tabs>
        <w:ind w:left="2160" w:hanging="2160"/>
      </w:pPr>
      <w:bookmarkStart w:id="58" w:name="_Toc143527717"/>
      <w:r>
        <w:t>EVF-23.</w:t>
      </w:r>
      <w:r w:rsidR="00301AA6">
        <w:t xml:space="preserve">4 </w:t>
      </w:r>
      <w:r w:rsidR="00301AA6">
        <w:tab/>
      </w:r>
      <w:r w:rsidR="001D4953">
        <w:t>D</w:t>
      </w:r>
      <w:r>
        <w:tab/>
      </w:r>
      <w:r w:rsidR="00604AC3" w:rsidRPr="00604AC3">
        <w:t>S.5.2. EVSE Identification and Marking Requirements</w:t>
      </w:r>
      <w:r w:rsidR="004B242D">
        <w:t xml:space="preserve">, </w:t>
      </w:r>
      <w:r w:rsidR="00604AC3" w:rsidRPr="00604AC3">
        <w:t>S.5.3.</w:t>
      </w:r>
      <w:r w:rsidR="004B242D">
        <w:t xml:space="preserve"> </w:t>
      </w:r>
      <w:r w:rsidR="00604AC3" w:rsidRPr="00604AC3">
        <w:t>Abbreviations and Symbols</w:t>
      </w:r>
      <w:r w:rsidR="00604AC3">
        <w:t xml:space="preserve">, </w:t>
      </w:r>
      <w:r w:rsidR="00A27577">
        <w:t>and N.5. Test of an EVSE System.</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756F1011"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32AB6C86" w14:textId="140D1D5F" w:rsidR="00BF21F6" w:rsidRPr="00BF21F6" w:rsidRDefault="00730B8E" w:rsidP="00BF21F6">
            <w:pPr>
              <w:spacing w:after="120"/>
              <w:jc w:val="center"/>
              <w:rPr>
                <w:rFonts w:eastAsia="Times New Roman"/>
                <w:b/>
                <w:szCs w:val="24"/>
              </w:rPr>
            </w:pPr>
            <w:r>
              <w:rPr>
                <w:rFonts w:eastAsia="Times New Roman"/>
                <w:b/>
                <w:szCs w:val="24"/>
              </w:rPr>
              <w:t>EVF-23.4</w:t>
            </w:r>
          </w:p>
        </w:tc>
      </w:tr>
      <w:tr w:rsidR="00BF21F6" w:rsidRPr="00BF21F6" w14:paraId="6E60E0E1" w14:textId="77777777" w:rsidTr="00192992">
        <w:tc>
          <w:tcPr>
            <w:tcW w:w="9350" w:type="dxa"/>
            <w:tcBorders>
              <w:top w:val="single" w:sz="24" w:space="0" w:color="auto"/>
              <w:left w:val="single" w:sz="4" w:space="0" w:color="auto"/>
              <w:bottom w:val="single" w:sz="4" w:space="0" w:color="auto"/>
              <w:right w:val="single" w:sz="4" w:space="0" w:color="auto"/>
            </w:tcBorders>
          </w:tcPr>
          <w:p w14:paraId="40C84FA4"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5FA41CF8" w14:textId="77777777" w:rsidR="00BF21F6" w:rsidRPr="00BF21F6" w:rsidRDefault="00BF21F6" w:rsidP="00BF21F6">
            <w:pPr>
              <w:spacing w:after="0"/>
              <w:rPr>
                <w:rFonts w:eastAsia="Times New Roman"/>
                <w:szCs w:val="24"/>
              </w:rPr>
            </w:pPr>
          </w:p>
          <w:p w14:paraId="35F8407E"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0FCEF8EB"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12300C5E"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58572014"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2176865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5B0D9B97"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3416C8B9"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691F2504"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6ADBF30D"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13082972"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3B2AA74C" w14:textId="77777777" w:rsidR="00BF21F6" w:rsidRPr="00BF21F6" w:rsidRDefault="00BF21F6" w:rsidP="00BF21F6">
            <w:pPr>
              <w:spacing w:after="0"/>
              <w:ind w:left="360"/>
              <w:rPr>
                <w:rFonts w:eastAsia="Times New Roman"/>
                <w:szCs w:val="24"/>
              </w:rPr>
            </w:pPr>
          </w:p>
        </w:tc>
      </w:tr>
      <w:tr w:rsidR="00BF21F6" w:rsidRPr="00BF21F6" w14:paraId="368D2F49"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15A00284"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0F573340" w14:textId="77777777" w:rsidTr="00192992">
        <w:tc>
          <w:tcPr>
            <w:tcW w:w="9350" w:type="dxa"/>
            <w:tcBorders>
              <w:top w:val="single" w:sz="4" w:space="0" w:color="auto"/>
              <w:left w:val="single" w:sz="4" w:space="0" w:color="auto"/>
              <w:bottom w:val="single" w:sz="4" w:space="0" w:color="auto"/>
              <w:right w:val="single" w:sz="4" w:space="0" w:color="auto"/>
            </w:tcBorders>
          </w:tcPr>
          <w:p w14:paraId="615BD93C" w14:textId="77777777" w:rsidR="00BF21F6" w:rsidRPr="00BF21F6" w:rsidRDefault="00BF21F6" w:rsidP="00BF21F6">
            <w:pPr>
              <w:spacing w:after="0"/>
              <w:rPr>
                <w:rFonts w:eastAsia="Times New Roman"/>
                <w:szCs w:val="24"/>
              </w:rPr>
            </w:pPr>
          </w:p>
          <w:p w14:paraId="1BA9CB36" w14:textId="77777777" w:rsidR="00BF21F6" w:rsidRPr="00BF21F6" w:rsidRDefault="00BF21F6" w:rsidP="00BF21F6">
            <w:pPr>
              <w:spacing w:after="0"/>
              <w:rPr>
                <w:rFonts w:eastAsia="Times New Roman"/>
                <w:szCs w:val="24"/>
              </w:rPr>
            </w:pPr>
          </w:p>
          <w:p w14:paraId="5BE5861F" w14:textId="77777777" w:rsidR="00BF21F6" w:rsidRPr="00BF21F6" w:rsidRDefault="00BF21F6" w:rsidP="00BF21F6">
            <w:pPr>
              <w:spacing w:after="0"/>
              <w:rPr>
                <w:rFonts w:eastAsia="Times New Roman"/>
                <w:szCs w:val="24"/>
              </w:rPr>
            </w:pPr>
          </w:p>
        </w:tc>
      </w:tr>
    </w:tbl>
    <w:p w14:paraId="63CCA179" w14:textId="7557266C" w:rsidR="00A27577" w:rsidRDefault="00A27577" w:rsidP="00FE2E49">
      <w:pPr>
        <w:pStyle w:val="ItemHeading"/>
        <w:keepNext/>
        <w:keepLines/>
        <w:tabs>
          <w:tab w:val="clear" w:pos="900"/>
          <w:tab w:val="left" w:pos="1440"/>
          <w:tab w:val="left" w:pos="2160"/>
        </w:tabs>
        <w:ind w:left="2160" w:hanging="2160"/>
      </w:pPr>
      <w:bookmarkStart w:id="59" w:name="_Toc143527718"/>
      <w:r>
        <w:lastRenderedPageBreak/>
        <w:t>EVF-2</w:t>
      </w:r>
      <w:r w:rsidR="00CC6830">
        <w:t>3</w:t>
      </w:r>
      <w:r>
        <w:t>.</w:t>
      </w:r>
      <w:r w:rsidR="00301AA6">
        <w:t xml:space="preserve">6 </w:t>
      </w:r>
      <w:r w:rsidR="00301AA6">
        <w:tab/>
      </w:r>
      <w:r>
        <w:tab/>
        <w:t>S.5.2. EVSE Identification and Marking Requirements., and T.2. Tolerances.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1B34292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69090C92" w14:textId="6F7599AA" w:rsidR="00BF21F6" w:rsidRPr="00BF21F6" w:rsidRDefault="00730B8E" w:rsidP="00FE2E49">
            <w:pPr>
              <w:keepNext/>
              <w:keepLines/>
              <w:spacing w:after="120"/>
              <w:jc w:val="center"/>
              <w:rPr>
                <w:rFonts w:eastAsia="Times New Roman"/>
                <w:b/>
                <w:szCs w:val="24"/>
              </w:rPr>
            </w:pPr>
            <w:r>
              <w:rPr>
                <w:rFonts w:eastAsia="Times New Roman"/>
                <w:b/>
                <w:szCs w:val="24"/>
              </w:rPr>
              <w:t>EVF-23.6</w:t>
            </w:r>
          </w:p>
        </w:tc>
      </w:tr>
      <w:tr w:rsidR="00BF21F6" w:rsidRPr="00BF21F6" w14:paraId="1C6F012F" w14:textId="77777777" w:rsidTr="00192992">
        <w:tc>
          <w:tcPr>
            <w:tcW w:w="9350" w:type="dxa"/>
            <w:tcBorders>
              <w:top w:val="single" w:sz="24" w:space="0" w:color="auto"/>
              <w:left w:val="single" w:sz="4" w:space="0" w:color="auto"/>
              <w:bottom w:val="single" w:sz="4" w:space="0" w:color="auto"/>
              <w:right w:val="single" w:sz="4" w:space="0" w:color="auto"/>
            </w:tcBorders>
          </w:tcPr>
          <w:p w14:paraId="3B1BE7DB"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389A8DDB" w14:textId="77777777" w:rsidR="00BF21F6" w:rsidRPr="00BF21F6" w:rsidRDefault="00BF21F6" w:rsidP="00FE2E49">
            <w:pPr>
              <w:keepNext/>
              <w:keepLines/>
              <w:spacing w:after="0"/>
              <w:rPr>
                <w:rFonts w:eastAsia="Times New Roman"/>
                <w:szCs w:val="24"/>
              </w:rPr>
            </w:pPr>
          </w:p>
          <w:p w14:paraId="1C40E779"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00FCC96E"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7CC82479"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252C39E9"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2CB659B7"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6A9C928D"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13AF1998"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3F75A50D"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1F49AC7B"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686AAC78"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5F6763DD" w14:textId="77777777" w:rsidR="00BF21F6" w:rsidRPr="00BF21F6" w:rsidRDefault="00BF21F6" w:rsidP="00FE2E49">
            <w:pPr>
              <w:keepNext/>
              <w:keepLines/>
              <w:spacing w:after="0"/>
              <w:ind w:left="360"/>
              <w:rPr>
                <w:rFonts w:eastAsia="Times New Roman"/>
                <w:szCs w:val="24"/>
              </w:rPr>
            </w:pPr>
          </w:p>
        </w:tc>
      </w:tr>
      <w:tr w:rsidR="00BF21F6" w:rsidRPr="00BF21F6" w14:paraId="68A29CA6"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698D3121"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2F1B4799" w14:textId="77777777" w:rsidTr="00192992">
        <w:tc>
          <w:tcPr>
            <w:tcW w:w="9350" w:type="dxa"/>
            <w:tcBorders>
              <w:top w:val="single" w:sz="4" w:space="0" w:color="auto"/>
              <w:left w:val="single" w:sz="4" w:space="0" w:color="auto"/>
              <w:bottom w:val="single" w:sz="4" w:space="0" w:color="auto"/>
              <w:right w:val="single" w:sz="4" w:space="0" w:color="auto"/>
            </w:tcBorders>
          </w:tcPr>
          <w:p w14:paraId="41606818" w14:textId="77777777" w:rsidR="00BF21F6" w:rsidRPr="00BF21F6" w:rsidRDefault="00BF21F6" w:rsidP="00FE2E49">
            <w:pPr>
              <w:keepNext/>
              <w:keepLines/>
              <w:spacing w:after="0"/>
              <w:rPr>
                <w:rFonts w:eastAsia="Times New Roman"/>
                <w:szCs w:val="24"/>
              </w:rPr>
            </w:pPr>
          </w:p>
          <w:p w14:paraId="2A8627C1" w14:textId="77777777" w:rsidR="00BF21F6" w:rsidRPr="00BF21F6" w:rsidRDefault="00BF21F6" w:rsidP="00FE2E49">
            <w:pPr>
              <w:keepNext/>
              <w:keepLines/>
              <w:spacing w:after="0"/>
              <w:rPr>
                <w:rFonts w:eastAsia="Times New Roman"/>
                <w:szCs w:val="24"/>
              </w:rPr>
            </w:pPr>
          </w:p>
          <w:p w14:paraId="77AFD214" w14:textId="77777777" w:rsidR="00BF21F6" w:rsidRPr="00BF21F6" w:rsidRDefault="00BF21F6" w:rsidP="00FE2E49">
            <w:pPr>
              <w:keepNext/>
              <w:keepLines/>
              <w:spacing w:after="0"/>
              <w:rPr>
                <w:rFonts w:eastAsia="Times New Roman"/>
                <w:szCs w:val="24"/>
              </w:rPr>
            </w:pPr>
          </w:p>
        </w:tc>
      </w:tr>
    </w:tbl>
    <w:p w14:paraId="170BF592" w14:textId="066E423E" w:rsidR="00396E7F" w:rsidRDefault="00396E7F" w:rsidP="00E57B3A">
      <w:pPr>
        <w:pStyle w:val="ItemHeading"/>
        <w:tabs>
          <w:tab w:val="clear" w:pos="900"/>
          <w:tab w:val="left" w:pos="1440"/>
          <w:tab w:val="left" w:pos="2160"/>
        </w:tabs>
        <w:ind w:left="2160" w:hanging="2160"/>
        <w:rPr>
          <w:u w:val="single"/>
        </w:rPr>
      </w:pPr>
      <w:bookmarkStart w:id="60" w:name="_Toc143527719"/>
      <w:r>
        <w:t>EVF-23.</w:t>
      </w:r>
      <w:r w:rsidR="00301AA6">
        <w:t xml:space="preserve">7 </w:t>
      </w:r>
      <w:r w:rsidR="00301AA6">
        <w:tab/>
      </w:r>
      <w:r w:rsidR="00504703">
        <w:t>D</w:t>
      </w:r>
      <w:r>
        <w:tab/>
      </w:r>
      <w:r w:rsidRPr="00396E7F">
        <w:rPr>
          <w:strike/>
        </w:rPr>
        <w:t>N.1. No Load Test, N.2. Startin Load Test.</w:t>
      </w:r>
      <w:r>
        <w:t xml:space="preserve">, N.5.2. Accuracy Testing, And Appendix D: </w:t>
      </w:r>
      <w:r>
        <w:rPr>
          <w:u w:val="single"/>
        </w:rPr>
        <w:t>maximum deliverable amperes.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734F1D22"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06367C67" w14:textId="1051550C" w:rsidR="00BF21F6" w:rsidRPr="00BF21F6" w:rsidRDefault="00730B8E" w:rsidP="00BF21F6">
            <w:pPr>
              <w:spacing w:after="120"/>
              <w:jc w:val="center"/>
              <w:rPr>
                <w:rFonts w:eastAsia="Times New Roman"/>
                <w:b/>
                <w:szCs w:val="24"/>
              </w:rPr>
            </w:pPr>
            <w:r>
              <w:rPr>
                <w:rFonts w:eastAsia="Times New Roman"/>
                <w:b/>
                <w:szCs w:val="24"/>
              </w:rPr>
              <w:t>EVF-23.7</w:t>
            </w:r>
          </w:p>
        </w:tc>
      </w:tr>
      <w:tr w:rsidR="00BF21F6" w:rsidRPr="00BF21F6" w14:paraId="776594B6" w14:textId="77777777" w:rsidTr="00192992">
        <w:tc>
          <w:tcPr>
            <w:tcW w:w="9350" w:type="dxa"/>
            <w:tcBorders>
              <w:top w:val="single" w:sz="24" w:space="0" w:color="auto"/>
              <w:left w:val="single" w:sz="4" w:space="0" w:color="auto"/>
              <w:bottom w:val="single" w:sz="4" w:space="0" w:color="auto"/>
              <w:right w:val="single" w:sz="4" w:space="0" w:color="auto"/>
            </w:tcBorders>
          </w:tcPr>
          <w:p w14:paraId="3D1D9784"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334A67AA" w14:textId="77777777" w:rsidR="00BF21F6" w:rsidRPr="00BF21F6" w:rsidRDefault="00BF21F6" w:rsidP="00BF21F6">
            <w:pPr>
              <w:spacing w:after="0"/>
              <w:rPr>
                <w:rFonts w:eastAsia="Times New Roman"/>
                <w:szCs w:val="24"/>
              </w:rPr>
            </w:pPr>
          </w:p>
          <w:p w14:paraId="4877ADE3"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3256C218"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4560EA63"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320C9F5F"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294ADD53"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38197C84"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44CA92BE"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2A6C651B"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1B6F8DBC"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219D1F5E"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23C92A39" w14:textId="77777777" w:rsidR="00BF21F6" w:rsidRPr="00BF21F6" w:rsidRDefault="00BF21F6" w:rsidP="00BF21F6">
            <w:pPr>
              <w:spacing w:after="0"/>
              <w:ind w:left="360"/>
              <w:rPr>
                <w:rFonts w:eastAsia="Times New Roman"/>
                <w:szCs w:val="24"/>
              </w:rPr>
            </w:pPr>
          </w:p>
        </w:tc>
      </w:tr>
      <w:tr w:rsidR="00BF21F6" w:rsidRPr="00BF21F6" w14:paraId="19973AD2"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0F06F950"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15836729" w14:textId="77777777" w:rsidTr="00192992">
        <w:tc>
          <w:tcPr>
            <w:tcW w:w="9350" w:type="dxa"/>
            <w:tcBorders>
              <w:top w:val="single" w:sz="4" w:space="0" w:color="auto"/>
              <w:left w:val="single" w:sz="4" w:space="0" w:color="auto"/>
              <w:bottom w:val="single" w:sz="4" w:space="0" w:color="auto"/>
              <w:right w:val="single" w:sz="4" w:space="0" w:color="auto"/>
            </w:tcBorders>
          </w:tcPr>
          <w:p w14:paraId="59B84C13" w14:textId="77777777" w:rsidR="00BF21F6" w:rsidRPr="00BF21F6" w:rsidRDefault="00BF21F6" w:rsidP="00BF21F6">
            <w:pPr>
              <w:spacing w:after="0"/>
              <w:rPr>
                <w:rFonts w:eastAsia="Times New Roman"/>
                <w:szCs w:val="24"/>
              </w:rPr>
            </w:pPr>
          </w:p>
          <w:p w14:paraId="0E4B612D" w14:textId="77777777" w:rsidR="00BF21F6" w:rsidRPr="00BF21F6" w:rsidRDefault="00BF21F6" w:rsidP="00BF21F6">
            <w:pPr>
              <w:spacing w:after="0"/>
              <w:rPr>
                <w:rFonts w:eastAsia="Times New Roman"/>
                <w:szCs w:val="24"/>
              </w:rPr>
            </w:pPr>
          </w:p>
          <w:p w14:paraId="7CDBC0E1" w14:textId="77777777" w:rsidR="00BF21F6" w:rsidRPr="00BF21F6" w:rsidRDefault="00BF21F6" w:rsidP="00BF21F6">
            <w:pPr>
              <w:spacing w:after="0"/>
              <w:rPr>
                <w:rFonts w:eastAsia="Times New Roman"/>
                <w:szCs w:val="24"/>
              </w:rPr>
            </w:pPr>
          </w:p>
        </w:tc>
      </w:tr>
    </w:tbl>
    <w:p w14:paraId="14AF2FEC" w14:textId="4B86B6D3" w:rsidR="0002745B" w:rsidRPr="00853A03" w:rsidRDefault="00FE2E49" w:rsidP="00FE2E49">
      <w:pPr>
        <w:pStyle w:val="Heading1"/>
        <w:rPr>
          <w:rFonts w:eastAsia="Calibri"/>
          <w:szCs w:val="22"/>
        </w:rPr>
      </w:pPr>
      <w:bookmarkStart w:id="61" w:name="_Toc32502683"/>
      <w:bookmarkStart w:id="62" w:name="_Toc143527720"/>
      <w:bookmarkStart w:id="63" w:name="_Hlk523218523"/>
      <w:bookmarkEnd w:id="55"/>
      <w:bookmarkEnd w:id="56"/>
      <w:r>
        <w:rPr>
          <w:caps w:val="0"/>
        </w:rPr>
        <w:lastRenderedPageBreak/>
        <w:t>G</w:t>
      </w:r>
      <w:r w:rsidR="001C08E2" w:rsidRPr="00853A03">
        <w:rPr>
          <w:caps w:val="0"/>
        </w:rPr>
        <w:t>MA – GRAIN MOISTURE METERS 5.56 (A)</w:t>
      </w:r>
      <w:bookmarkEnd w:id="61"/>
      <w:bookmarkEnd w:id="62"/>
    </w:p>
    <w:p w14:paraId="4FA6408C" w14:textId="0C353D9D" w:rsidR="00EC4679" w:rsidRDefault="0037371C" w:rsidP="00FE2E49">
      <w:pPr>
        <w:pStyle w:val="ItemHeading"/>
        <w:keepNext/>
        <w:keepLines/>
        <w:tabs>
          <w:tab w:val="clear" w:pos="900"/>
          <w:tab w:val="left" w:pos="1710"/>
        </w:tabs>
        <w:ind w:left="2160" w:hanging="2160"/>
        <w:rPr>
          <w:u w:val="single"/>
        </w:rPr>
      </w:pPr>
      <w:bookmarkStart w:id="64" w:name="_Toc32502684"/>
      <w:bookmarkStart w:id="65" w:name="_Toc143527721"/>
      <w:bookmarkStart w:id="66" w:name="_Hlk523220508"/>
      <w:bookmarkEnd w:id="63"/>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6805E56A"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5959F1C" w14:textId="4F8D5B5C" w:rsidR="00BF21F6" w:rsidRPr="00BF21F6" w:rsidRDefault="00730B8E" w:rsidP="00FE2E49">
            <w:pPr>
              <w:keepNext/>
              <w:keepLines/>
              <w:spacing w:after="120"/>
              <w:jc w:val="center"/>
              <w:rPr>
                <w:rFonts w:eastAsia="Times New Roman"/>
                <w:b/>
                <w:szCs w:val="24"/>
              </w:rPr>
            </w:pPr>
            <w:r>
              <w:rPr>
                <w:rFonts w:eastAsia="Times New Roman"/>
                <w:b/>
                <w:szCs w:val="24"/>
              </w:rPr>
              <w:t>GMA-19.1</w:t>
            </w:r>
          </w:p>
        </w:tc>
      </w:tr>
      <w:tr w:rsidR="00BF21F6" w:rsidRPr="00BF21F6" w14:paraId="590F7D27" w14:textId="77777777" w:rsidTr="00192992">
        <w:tc>
          <w:tcPr>
            <w:tcW w:w="9350" w:type="dxa"/>
            <w:tcBorders>
              <w:top w:val="single" w:sz="24" w:space="0" w:color="auto"/>
              <w:left w:val="single" w:sz="4" w:space="0" w:color="auto"/>
              <w:bottom w:val="single" w:sz="4" w:space="0" w:color="auto"/>
              <w:right w:val="single" w:sz="4" w:space="0" w:color="auto"/>
            </w:tcBorders>
          </w:tcPr>
          <w:p w14:paraId="453EF118"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1AB3FA8A" w14:textId="77777777" w:rsidR="00BF21F6" w:rsidRPr="00BF21F6" w:rsidRDefault="00BF21F6" w:rsidP="00FE2E49">
            <w:pPr>
              <w:keepNext/>
              <w:keepLines/>
              <w:spacing w:after="0"/>
              <w:rPr>
                <w:rFonts w:eastAsia="Times New Roman"/>
                <w:szCs w:val="24"/>
              </w:rPr>
            </w:pPr>
          </w:p>
          <w:p w14:paraId="059F4B4A"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4B18107A"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753CF3CE"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3E621DB9"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551B0DA9"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09E7E2DE"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1FF7034A"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624600E7"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329D81A6"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5F838E13"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54EE67C3" w14:textId="77777777" w:rsidR="00BF21F6" w:rsidRPr="00BF21F6" w:rsidRDefault="00BF21F6" w:rsidP="00FE2E49">
            <w:pPr>
              <w:keepNext/>
              <w:keepLines/>
              <w:spacing w:after="0"/>
              <w:ind w:left="360"/>
              <w:rPr>
                <w:rFonts w:eastAsia="Times New Roman"/>
                <w:szCs w:val="24"/>
              </w:rPr>
            </w:pPr>
          </w:p>
        </w:tc>
      </w:tr>
      <w:tr w:rsidR="00BF21F6" w:rsidRPr="00BF21F6" w14:paraId="59ACCB41"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42412ECA"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0A486D29" w14:textId="77777777" w:rsidTr="00192992">
        <w:tc>
          <w:tcPr>
            <w:tcW w:w="9350" w:type="dxa"/>
            <w:tcBorders>
              <w:top w:val="single" w:sz="4" w:space="0" w:color="auto"/>
              <w:left w:val="single" w:sz="4" w:space="0" w:color="auto"/>
              <w:bottom w:val="single" w:sz="4" w:space="0" w:color="auto"/>
              <w:right w:val="single" w:sz="4" w:space="0" w:color="auto"/>
            </w:tcBorders>
          </w:tcPr>
          <w:p w14:paraId="54FE6E94" w14:textId="77777777" w:rsidR="00BF21F6" w:rsidRPr="00BF21F6" w:rsidRDefault="00BF21F6" w:rsidP="00FE2E49">
            <w:pPr>
              <w:keepNext/>
              <w:keepLines/>
              <w:spacing w:after="0"/>
              <w:rPr>
                <w:rFonts w:eastAsia="Times New Roman"/>
                <w:szCs w:val="24"/>
              </w:rPr>
            </w:pPr>
          </w:p>
          <w:p w14:paraId="3FE5082B" w14:textId="77777777" w:rsidR="00BF21F6" w:rsidRPr="00BF21F6" w:rsidRDefault="00BF21F6" w:rsidP="00FE2E49">
            <w:pPr>
              <w:keepNext/>
              <w:keepLines/>
              <w:spacing w:after="0"/>
              <w:rPr>
                <w:rFonts w:eastAsia="Times New Roman"/>
                <w:szCs w:val="24"/>
              </w:rPr>
            </w:pPr>
          </w:p>
          <w:p w14:paraId="507742BF" w14:textId="77777777" w:rsidR="00BF21F6" w:rsidRPr="00BF21F6" w:rsidRDefault="00BF21F6" w:rsidP="00FE2E49">
            <w:pPr>
              <w:keepNext/>
              <w:keepLines/>
              <w:spacing w:after="0"/>
              <w:rPr>
                <w:rFonts w:eastAsia="Times New Roman"/>
                <w:szCs w:val="24"/>
              </w:rPr>
            </w:pPr>
          </w:p>
        </w:tc>
      </w:tr>
    </w:tbl>
    <w:p w14:paraId="11477B20" w14:textId="5C9FF635" w:rsidR="005735BB" w:rsidRPr="00853A03" w:rsidRDefault="00BF38F0" w:rsidP="002E2275">
      <w:pPr>
        <w:pStyle w:val="Heading1"/>
        <w:keepLines w:val="0"/>
        <w:rPr>
          <w:rFonts w:eastAsia="Calibri"/>
        </w:rPr>
      </w:pPr>
      <w:bookmarkStart w:id="67" w:name="_Toc459300084"/>
      <w:bookmarkStart w:id="68" w:name="_Toc32502691"/>
      <w:bookmarkStart w:id="69" w:name="_Toc143527722"/>
      <w:bookmarkEnd w:id="44"/>
      <w:bookmarkEnd w:id="66"/>
      <w:r w:rsidRPr="00853A03">
        <w:t xml:space="preserve">OTH – </w:t>
      </w:r>
      <w:r w:rsidR="005735BB" w:rsidRPr="00853A03">
        <w:t>OTHER ITEMS</w:t>
      </w:r>
      <w:bookmarkEnd w:id="67"/>
      <w:bookmarkEnd w:id="68"/>
      <w:bookmarkEnd w:id="69"/>
    </w:p>
    <w:p w14:paraId="7E4B3597" w14:textId="5047067E" w:rsidR="004B077C" w:rsidRDefault="00BF38F0" w:rsidP="00AC160A">
      <w:pPr>
        <w:pStyle w:val="ItemHeading"/>
        <w:tabs>
          <w:tab w:val="clear" w:pos="900"/>
          <w:tab w:val="left" w:pos="1710"/>
        </w:tabs>
        <w:ind w:left="2160" w:hanging="2160"/>
      </w:pPr>
      <w:bookmarkStart w:id="70" w:name="_Toc32502692"/>
      <w:bookmarkStart w:id="71" w:name="_Toc143527723"/>
      <w:r w:rsidRPr="00CC6830">
        <w:t>OTH</w:t>
      </w:r>
      <w:r w:rsidR="00BE0132" w:rsidRPr="00CC6830">
        <w:t>-</w:t>
      </w:r>
      <w:r w:rsidR="00B17B87" w:rsidRPr="00CC6830">
        <w:t>16.1</w:t>
      </w:r>
      <w:r w:rsidR="00BE0132" w:rsidRPr="00853A03">
        <w:tab/>
      </w:r>
      <w:r w:rsidR="0034601F">
        <w:t>I</w:t>
      </w:r>
      <w:r w:rsidR="004B077C" w:rsidRPr="00853A03">
        <w:tab/>
        <w:t xml:space="preserve">Electric Watthour Meters </w:t>
      </w:r>
      <w:r w:rsidR="002D603D">
        <w:t xml:space="preserve">Tentative </w:t>
      </w:r>
      <w:r w:rsidR="004B077C" w:rsidRPr="00853A03">
        <w:t>Code</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4A699540"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0061FE68" w14:textId="78D92CC8" w:rsidR="00BF21F6" w:rsidRPr="00BF21F6" w:rsidRDefault="00730B8E" w:rsidP="00BF21F6">
            <w:pPr>
              <w:spacing w:after="120"/>
              <w:jc w:val="center"/>
              <w:rPr>
                <w:rFonts w:eastAsia="Times New Roman"/>
                <w:b/>
                <w:szCs w:val="24"/>
              </w:rPr>
            </w:pPr>
            <w:r>
              <w:rPr>
                <w:rFonts w:eastAsia="Times New Roman"/>
                <w:b/>
                <w:szCs w:val="24"/>
              </w:rPr>
              <w:t>OTH-16.1</w:t>
            </w:r>
          </w:p>
        </w:tc>
      </w:tr>
      <w:tr w:rsidR="00BF21F6" w:rsidRPr="00BF21F6" w14:paraId="13C16381" w14:textId="77777777" w:rsidTr="00192992">
        <w:tc>
          <w:tcPr>
            <w:tcW w:w="9350" w:type="dxa"/>
            <w:tcBorders>
              <w:top w:val="single" w:sz="24" w:space="0" w:color="auto"/>
              <w:left w:val="single" w:sz="4" w:space="0" w:color="auto"/>
              <w:bottom w:val="single" w:sz="4" w:space="0" w:color="auto"/>
              <w:right w:val="single" w:sz="4" w:space="0" w:color="auto"/>
            </w:tcBorders>
          </w:tcPr>
          <w:p w14:paraId="4F8F9E4E"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53B8E755" w14:textId="77777777" w:rsidR="00BF21F6" w:rsidRPr="00BF21F6" w:rsidRDefault="00BF21F6" w:rsidP="00BF21F6">
            <w:pPr>
              <w:spacing w:after="0"/>
              <w:rPr>
                <w:rFonts w:eastAsia="Times New Roman"/>
                <w:szCs w:val="24"/>
              </w:rPr>
            </w:pPr>
          </w:p>
          <w:p w14:paraId="778F8F47"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59788A1B"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00571CA2"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28F218C4"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6AACED98"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0723D902"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0548CDB7"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55088A7E"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43B5F9A3"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3736B157"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483E2940" w14:textId="77777777" w:rsidR="00BF21F6" w:rsidRPr="00BF21F6" w:rsidRDefault="00BF21F6" w:rsidP="00BF21F6">
            <w:pPr>
              <w:spacing w:after="0"/>
              <w:ind w:left="360"/>
              <w:rPr>
                <w:rFonts w:eastAsia="Times New Roman"/>
                <w:szCs w:val="24"/>
              </w:rPr>
            </w:pPr>
          </w:p>
        </w:tc>
      </w:tr>
      <w:tr w:rsidR="00BF21F6" w:rsidRPr="00BF21F6" w14:paraId="5E952A5C"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7D130AE0"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4D1C7C24" w14:textId="77777777" w:rsidTr="00192992">
        <w:tc>
          <w:tcPr>
            <w:tcW w:w="9350" w:type="dxa"/>
            <w:tcBorders>
              <w:top w:val="single" w:sz="4" w:space="0" w:color="auto"/>
              <w:left w:val="single" w:sz="4" w:space="0" w:color="auto"/>
              <w:bottom w:val="single" w:sz="4" w:space="0" w:color="auto"/>
              <w:right w:val="single" w:sz="4" w:space="0" w:color="auto"/>
            </w:tcBorders>
          </w:tcPr>
          <w:p w14:paraId="1B86F659" w14:textId="77777777" w:rsidR="00BF21F6" w:rsidRPr="00BF21F6" w:rsidRDefault="00BF21F6" w:rsidP="00BF21F6">
            <w:pPr>
              <w:spacing w:after="0"/>
              <w:rPr>
                <w:rFonts w:eastAsia="Times New Roman"/>
                <w:szCs w:val="24"/>
              </w:rPr>
            </w:pPr>
          </w:p>
          <w:p w14:paraId="23A56F87" w14:textId="77777777" w:rsidR="00BF21F6" w:rsidRPr="00BF21F6" w:rsidRDefault="00BF21F6" w:rsidP="00BF21F6">
            <w:pPr>
              <w:spacing w:after="0"/>
              <w:rPr>
                <w:rFonts w:eastAsia="Times New Roman"/>
                <w:szCs w:val="24"/>
              </w:rPr>
            </w:pPr>
          </w:p>
          <w:p w14:paraId="1CB4548E" w14:textId="77777777" w:rsidR="00BF21F6" w:rsidRPr="00BF21F6" w:rsidRDefault="00BF21F6" w:rsidP="00BF21F6">
            <w:pPr>
              <w:spacing w:after="0"/>
              <w:rPr>
                <w:rFonts w:eastAsia="Times New Roman"/>
                <w:szCs w:val="24"/>
              </w:rPr>
            </w:pPr>
          </w:p>
        </w:tc>
      </w:tr>
    </w:tbl>
    <w:p w14:paraId="32C762EB" w14:textId="32FD450E" w:rsidR="00C412CF" w:rsidRPr="003C355F" w:rsidRDefault="00E74F7A" w:rsidP="00FE2E49">
      <w:pPr>
        <w:pStyle w:val="ItemHeading"/>
        <w:keepNext/>
        <w:keepLines/>
        <w:tabs>
          <w:tab w:val="clear" w:pos="900"/>
          <w:tab w:val="left" w:pos="1530"/>
        </w:tabs>
        <w:ind w:left="2160" w:hanging="2160"/>
      </w:pPr>
      <w:bookmarkStart w:id="72" w:name="_Toc143527724"/>
      <w:r>
        <w:lastRenderedPageBreak/>
        <w:t>OTH-24.1</w:t>
      </w:r>
      <w:r w:rsidR="00C412CF" w:rsidRPr="003C355F">
        <w:tab/>
      </w:r>
      <w:r w:rsidR="00C412CF" w:rsidRPr="003C355F">
        <w:tab/>
      </w:r>
      <w:r w:rsidR="005A198A">
        <w:t>Appendix D, Definitions: li</w:t>
      </w:r>
      <w:r w:rsidR="006229A4">
        <w:t>quefied petroleum gas retail motor-fuel device.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4A67A719"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601CC2BD" w14:textId="4EBAFC31" w:rsidR="00BF21F6" w:rsidRPr="00BF21F6" w:rsidRDefault="00730B8E" w:rsidP="00FE2E49">
            <w:pPr>
              <w:keepNext/>
              <w:keepLines/>
              <w:spacing w:after="120"/>
              <w:jc w:val="center"/>
              <w:rPr>
                <w:rFonts w:eastAsia="Times New Roman"/>
                <w:b/>
                <w:szCs w:val="24"/>
              </w:rPr>
            </w:pPr>
            <w:r>
              <w:rPr>
                <w:rFonts w:eastAsia="Times New Roman"/>
                <w:b/>
                <w:szCs w:val="24"/>
              </w:rPr>
              <w:t>OTH-24.1</w:t>
            </w:r>
          </w:p>
        </w:tc>
      </w:tr>
      <w:tr w:rsidR="00BF21F6" w:rsidRPr="00BF21F6" w14:paraId="21BF905A" w14:textId="77777777" w:rsidTr="00192992">
        <w:tc>
          <w:tcPr>
            <w:tcW w:w="9350" w:type="dxa"/>
            <w:tcBorders>
              <w:top w:val="single" w:sz="24" w:space="0" w:color="auto"/>
              <w:left w:val="single" w:sz="4" w:space="0" w:color="auto"/>
              <w:bottom w:val="single" w:sz="4" w:space="0" w:color="auto"/>
              <w:right w:val="single" w:sz="4" w:space="0" w:color="auto"/>
            </w:tcBorders>
          </w:tcPr>
          <w:p w14:paraId="05824D24" w14:textId="77777777" w:rsidR="00BF21F6" w:rsidRPr="00BF21F6" w:rsidRDefault="00BF21F6" w:rsidP="00FE2E49">
            <w:pPr>
              <w:keepNext/>
              <w:keepLines/>
              <w:spacing w:after="0"/>
              <w:rPr>
                <w:rFonts w:eastAsia="Times New Roman"/>
                <w:b/>
                <w:szCs w:val="24"/>
              </w:rPr>
            </w:pPr>
            <w:r w:rsidRPr="00BF21F6">
              <w:rPr>
                <w:rFonts w:eastAsia="Times New Roman"/>
                <w:b/>
                <w:szCs w:val="24"/>
              </w:rPr>
              <w:t>Regional recommendation to NCWM on item status:</w:t>
            </w:r>
          </w:p>
          <w:p w14:paraId="72D6167F" w14:textId="77777777" w:rsidR="00BF21F6" w:rsidRPr="00BF21F6" w:rsidRDefault="00BF21F6" w:rsidP="00FE2E49">
            <w:pPr>
              <w:keepNext/>
              <w:keepLines/>
              <w:spacing w:after="0"/>
              <w:rPr>
                <w:rFonts w:eastAsia="Times New Roman"/>
                <w:szCs w:val="24"/>
              </w:rPr>
            </w:pPr>
          </w:p>
          <w:p w14:paraId="1A29FDBA"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57F77826"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4BC930C1"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00604BFC"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(To be developed by an NCWM Task Group or Subcommittee)</w:t>
            </w:r>
          </w:p>
          <w:p w14:paraId="094FBD4B"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531DA94F" w14:textId="77777777" w:rsidR="00BF21F6" w:rsidRPr="00BF21F6" w:rsidRDefault="00BF21F6" w:rsidP="00FE2E49">
            <w:pPr>
              <w:keepNext/>
              <w:keepLines/>
              <w:spacing w:after="0"/>
              <w:ind w:left="720"/>
              <w:rPr>
                <w:rFonts w:eastAsia="Times New Roman"/>
                <w:szCs w:val="24"/>
              </w:rPr>
            </w:pPr>
            <w:r w:rsidRPr="00BF21F6">
              <w:rPr>
                <w:rFonts w:eastAsia="Times New Roman"/>
                <w:i/>
                <w:szCs w:val="24"/>
              </w:rPr>
              <w:t xml:space="preserve">(To be developed by source of the proposal) </w:t>
            </w:r>
          </w:p>
          <w:p w14:paraId="33F5135B" w14:textId="77777777" w:rsidR="00BF21F6" w:rsidRPr="00BF21F6" w:rsidRDefault="00BF21F6" w:rsidP="00FE2E49">
            <w:pPr>
              <w:keepNext/>
              <w:keepLines/>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5BF4688B" w14:textId="77777777" w:rsidR="00BF21F6" w:rsidRPr="00BF21F6" w:rsidRDefault="00BF21F6" w:rsidP="00FE2E49">
            <w:pPr>
              <w:keepNext/>
              <w:keepLines/>
              <w:spacing w:after="0"/>
              <w:ind w:left="990" w:hanging="270"/>
              <w:rPr>
                <w:rFonts w:eastAsia="Times New Roman"/>
                <w:i/>
                <w:szCs w:val="24"/>
              </w:rPr>
            </w:pPr>
            <w:r w:rsidRPr="00BF21F6">
              <w:rPr>
                <w:rFonts w:eastAsia="Times New Roman"/>
                <w:i/>
                <w:szCs w:val="24"/>
              </w:rPr>
              <w:t>(In the case of new proposals, do not forward this item to NCWM)</w:t>
            </w:r>
          </w:p>
          <w:p w14:paraId="4A5B7835" w14:textId="77777777" w:rsidR="00BF21F6" w:rsidRPr="00BF21F6" w:rsidRDefault="00BF21F6" w:rsidP="00FE2E49">
            <w:pPr>
              <w:keepNext/>
              <w:keepLines/>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321F6FAF" w14:textId="77777777" w:rsidR="00BF21F6" w:rsidRPr="00BF21F6" w:rsidRDefault="00BF21F6" w:rsidP="00FE2E49">
            <w:pPr>
              <w:keepNext/>
              <w:keepLines/>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7B0C4BA9" w14:textId="77777777" w:rsidR="00BF21F6" w:rsidRPr="00BF21F6" w:rsidRDefault="00BF21F6" w:rsidP="00FE2E49">
            <w:pPr>
              <w:keepNext/>
              <w:keepLines/>
              <w:spacing w:after="0"/>
              <w:ind w:left="360"/>
              <w:rPr>
                <w:rFonts w:eastAsia="Times New Roman"/>
                <w:szCs w:val="24"/>
              </w:rPr>
            </w:pPr>
          </w:p>
        </w:tc>
      </w:tr>
      <w:tr w:rsidR="00BF21F6" w:rsidRPr="00BF21F6" w14:paraId="35631328"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4D118D35" w14:textId="77777777" w:rsidR="00BF21F6" w:rsidRPr="00BF21F6" w:rsidRDefault="00BF21F6" w:rsidP="00FE2E49">
            <w:pPr>
              <w:keepNext/>
              <w:keepLines/>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1019678A" w14:textId="77777777" w:rsidTr="00192992">
        <w:tc>
          <w:tcPr>
            <w:tcW w:w="9350" w:type="dxa"/>
            <w:tcBorders>
              <w:top w:val="single" w:sz="4" w:space="0" w:color="auto"/>
              <w:left w:val="single" w:sz="4" w:space="0" w:color="auto"/>
              <w:bottom w:val="single" w:sz="4" w:space="0" w:color="auto"/>
              <w:right w:val="single" w:sz="4" w:space="0" w:color="auto"/>
            </w:tcBorders>
          </w:tcPr>
          <w:p w14:paraId="34E2A466" w14:textId="77777777" w:rsidR="00BF21F6" w:rsidRPr="00BF21F6" w:rsidRDefault="00BF21F6" w:rsidP="00FE2E49">
            <w:pPr>
              <w:keepNext/>
              <w:keepLines/>
              <w:spacing w:after="0"/>
              <w:rPr>
                <w:rFonts w:eastAsia="Times New Roman"/>
                <w:szCs w:val="24"/>
              </w:rPr>
            </w:pPr>
          </w:p>
          <w:p w14:paraId="75C99FBD" w14:textId="77777777" w:rsidR="00BF21F6" w:rsidRPr="00BF21F6" w:rsidRDefault="00BF21F6" w:rsidP="00FE2E49">
            <w:pPr>
              <w:keepNext/>
              <w:keepLines/>
              <w:spacing w:after="0"/>
              <w:rPr>
                <w:rFonts w:eastAsia="Times New Roman"/>
                <w:szCs w:val="24"/>
              </w:rPr>
            </w:pPr>
          </w:p>
          <w:p w14:paraId="530208D3" w14:textId="77777777" w:rsidR="00BF21F6" w:rsidRPr="00BF21F6" w:rsidRDefault="00BF21F6" w:rsidP="00FE2E49">
            <w:pPr>
              <w:keepNext/>
              <w:keepLines/>
              <w:spacing w:after="0"/>
              <w:rPr>
                <w:rFonts w:eastAsia="Times New Roman"/>
                <w:szCs w:val="24"/>
              </w:rPr>
            </w:pPr>
          </w:p>
        </w:tc>
      </w:tr>
    </w:tbl>
    <w:p w14:paraId="262A9928" w14:textId="77777777" w:rsidR="00C412CF" w:rsidRDefault="00C412CF" w:rsidP="00C412CF">
      <w:pPr>
        <w:spacing w:after="0"/>
      </w:pPr>
    </w:p>
    <w:p w14:paraId="7E1E7715" w14:textId="6751C8B7" w:rsidR="00B91980" w:rsidRPr="008743F4" w:rsidRDefault="00FA37F5" w:rsidP="00FA37F5">
      <w:pPr>
        <w:pStyle w:val="ItemHeading"/>
        <w:tabs>
          <w:tab w:val="clear" w:pos="900"/>
          <w:tab w:val="left" w:pos="1530"/>
        </w:tabs>
        <w:ind w:left="2160" w:hanging="2160"/>
        <w:rPr>
          <w:u w:val="single"/>
        </w:rPr>
      </w:pPr>
      <w:bookmarkStart w:id="73" w:name="_Toc143527725"/>
      <w:r>
        <w:t>OTH-24.2</w:t>
      </w:r>
      <w:r w:rsidR="00B91980" w:rsidRPr="003C355F">
        <w:tab/>
      </w:r>
      <w:r w:rsidR="00B91980" w:rsidRPr="003C355F">
        <w:tab/>
      </w:r>
      <w:r>
        <w:t xml:space="preserve">Appendix D, Definitions: </w:t>
      </w:r>
      <w:r w:rsidR="00CB26AA">
        <w:rPr>
          <w:u w:val="single"/>
        </w:rPr>
        <w:t>Nat</w:t>
      </w:r>
      <w:r w:rsidR="008743F4">
        <w:rPr>
          <w:u w:val="single"/>
        </w:rPr>
        <w:t>i</w:t>
      </w:r>
      <w:r w:rsidR="00CB26AA">
        <w:rPr>
          <w:u w:val="single"/>
        </w:rPr>
        <w:t>onal Type Evaluation Pro</w:t>
      </w:r>
      <w:r w:rsidR="008743F4">
        <w:rPr>
          <w:u w:val="single"/>
        </w:rPr>
        <w:t>gram (NTEP)</w:t>
      </w:r>
      <w:r w:rsidR="008743F4">
        <w:t xml:space="preserve"> and </w:t>
      </w:r>
      <w:r w:rsidR="00097CE2">
        <w:rPr>
          <w:u w:val="single"/>
        </w:rPr>
        <w:t>Certificate of Conformance (CC)</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1F6" w:rsidRPr="00BF21F6" w14:paraId="77027CDE" w14:textId="77777777" w:rsidTr="00192992">
        <w:tc>
          <w:tcPr>
            <w:tcW w:w="9350" w:type="dxa"/>
            <w:tcBorders>
              <w:top w:val="single" w:sz="4" w:space="0" w:color="auto"/>
              <w:left w:val="single" w:sz="4" w:space="0" w:color="auto"/>
              <w:bottom w:val="single" w:sz="4" w:space="0" w:color="auto"/>
              <w:right w:val="single" w:sz="4" w:space="0" w:color="auto"/>
            </w:tcBorders>
            <w:vAlign w:val="center"/>
            <w:hideMark/>
          </w:tcPr>
          <w:p w14:paraId="5A2C77F3" w14:textId="78AA1841" w:rsidR="00BF21F6" w:rsidRPr="00BF21F6" w:rsidRDefault="00730B8E" w:rsidP="00BF21F6">
            <w:pPr>
              <w:spacing w:after="120"/>
              <w:jc w:val="center"/>
              <w:rPr>
                <w:rFonts w:eastAsia="Times New Roman"/>
                <w:b/>
                <w:szCs w:val="24"/>
              </w:rPr>
            </w:pPr>
            <w:r>
              <w:rPr>
                <w:rFonts w:eastAsia="Times New Roman"/>
                <w:b/>
                <w:szCs w:val="24"/>
              </w:rPr>
              <w:t>OTH-24.2</w:t>
            </w:r>
          </w:p>
        </w:tc>
      </w:tr>
      <w:tr w:rsidR="00BF21F6" w:rsidRPr="00BF21F6" w14:paraId="4E9D09E6" w14:textId="77777777" w:rsidTr="00192992">
        <w:tc>
          <w:tcPr>
            <w:tcW w:w="9350" w:type="dxa"/>
            <w:tcBorders>
              <w:top w:val="single" w:sz="24" w:space="0" w:color="auto"/>
              <w:left w:val="single" w:sz="4" w:space="0" w:color="auto"/>
              <w:bottom w:val="single" w:sz="4" w:space="0" w:color="auto"/>
              <w:right w:val="single" w:sz="4" w:space="0" w:color="auto"/>
            </w:tcBorders>
          </w:tcPr>
          <w:p w14:paraId="357D3773" w14:textId="77777777" w:rsidR="00BF21F6" w:rsidRPr="00BF21F6" w:rsidRDefault="00BF21F6" w:rsidP="00BF21F6">
            <w:pPr>
              <w:spacing w:after="0"/>
              <w:rPr>
                <w:rFonts w:eastAsia="Times New Roman"/>
                <w:b/>
                <w:szCs w:val="24"/>
              </w:rPr>
            </w:pPr>
            <w:r w:rsidRPr="00BF21F6">
              <w:rPr>
                <w:rFonts w:eastAsia="Times New Roman"/>
                <w:b/>
                <w:szCs w:val="24"/>
              </w:rPr>
              <w:t>Regional recommendation to NCWM on item status:</w:t>
            </w:r>
          </w:p>
          <w:p w14:paraId="1FC518B6" w14:textId="77777777" w:rsidR="00BF21F6" w:rsidRPr="00BF21F6" w:rsidRDefault="00BF21F6" w:rsidP="00BF21F6">
            <w:pPr>
              <w:spacing w:after="0"/>
              <w:rPr>
                <w:rFonts w:eastAsia="Times New Roman"/>
                <w:szCs w:val="24"/>
              </w:rPr>
            </w:pPr>
          </w:p>
          <w:p w14:paraId="6751C11A"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Voting Item on the NCWM agenda</w:t>
            </w:r>
          </w:p>
          <w:p w14:paraId="4669EB1F"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Information Item on the NCWM agenda</w:t>
            </w:r>
          </w:p>
          <w:p w14:paraId="686DD495"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2"/>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an Assigned Item on the NCWM agenda</w:t>
            </w:r>
          </w:p>
          <w:p w14:paraId="58814D8A" w14:textId="77777777" w:rsidR="00BF21F6" w:rsidRPr="00BF21F6" w:rsidRDefault="00BF21F6" w:rsidP="00BF21F6">
            <w:pPr>
              <w:spacing w:after="0"/>
              <w:ind w:left="720"/>
              <w:rPr>
                <w:rFonts w:eastAsia="Times New Roman"/>
                <w:szCs w:val="24"/>
              </w:rPr>
            </w:pPr>
            <w:r w:rsidRPr="00BF21F6">
              <w:rPr>
                <w:rFonts w:eastAsia="Times New Roman"/>
                <w:i/>
                <w:szCs w:val="24"/>
              </w:rPr>
              <w:t>(To be developed by an NCWM Task Group or Subcommittee)</w:t>
            </w:r>
          </w:p>
          <w:p w14:paraId="7388992C"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3"/>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as a Developing Item on the NCWM agenda</w:t>
            </w:r>
          </w:p>
          <w:p w14:paraId="5A69185B" w14:textId="77777777" w:rsidR="00BF21F6" w:rsidRPr="00BF21F6" w:rsidRDefault="00BF21F6" w:rsidP="00BF21F6">
            <w:pPr>
              <w:spacing w:after="0"/>
              <w:ind w:left="720"/>
              <w:rPr>
                <w:rFonts w:eastAsia="Times New Roman"/>
                <w:szCs w:val="24"/>
              </w:rPr>
            </w:pPr>
            <w:r w:rsidRPr="00BF21F6">
              <w:rPr>
                <w:rFonts w:eastAsia="Times New Roman"/>
                <w:i/>
                <w:szCs w:val="24"/>
              </w:rPr>
              <w:t xml:space="preserve">(To be developed by source of the proposal) </w:t>
            </w:r>
          </w:p>
          <w:p w14:paraId="0CD84024" w14:textId="77777777" w:rsidR="00BF21F6" w:rsidRPr="00BF21F6" w:rsidRDefault="00BF21F6" w:rsidP="00BF21F6">
            <w:pPr>
              <w:spacing w:after="0"/>
              <w:ind w:left="630" w:hanging="27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Recommend Withdrawal of the Item from the NCWM agenda</w:t>
            </w:r>
          </w:p>
          <w:p w14:paraId="5F2159D3" w14:textId="77777777" w:rsidR="00BF21F6" w:rsidRPr="00BF21F6" w:rsidRDefault="00BF21F6" w:rsidP="00BF21F6">
            <w:pPr>
              <w:spacing w:after="0"/>
              <w:ind w:left="990" w:hanging="270"/>
              <w:rPr>
                <w:rFonts w:eastAsia="Times New Roman"/>
                <w:i/>
                <w:szCs w:val="24"/>
              </w:rPr>
            </w:pPr>
            <w:r w:rsidRPr="00BF21F6">
              <w:rPr>
                <w:rFonts w:eastAsia="Times New Roman"/>
                <w:i/>
                <w:szCs w:val="24"/>
              </w:rPr>
              <w:t>(In the case of new proposals, do not forward this item to NCWM)</w:t>
            </w:r>
          </w:p>
          <w:p w14:paraId="1D7FEF10" w14:textId="77777777" w:rsidR="00BF21F6" w:rsidRPr="00BF21F6" w:rsidRDefault="00BF21F6" w:rsidP="00BF21F6">
            <w:pPr>
              <w:spacing w:after="0"/>
              <w:ind w:left="360"/>
              <w:rPr>
                <w:rFonts w:eastAsia="Times New Roman"/>
                <w:szCs w:val="24"/>
              </w:rPr>
            </w:pPr>
            <w:r w:rsidRPr="00BF21F6">
              <w:rPr>
                <w:rFonts w:eastAsia="Times New Roman"/>
                <w:szCs w:val="24"/>
              </w:rPr>
              <w:fldChar w:fldCharType="begin">
                <w:ffData>
                  <w:name w:val="Check4"/>
                  <w:enabled/>
                  <w:calcOnExit w:val="0"/>
                  <w:checkBox>
                    <w:sizeAuto/>
                    <w:default w:val="0"/>
                  </w:checkBox>
                </w:ffData>
              </w:fldChar>
            </w:r>
            <w:r w:rsidRPr="00BF21F6">
              <w:rPr>
                <w:rFonts w:eastAsia="Times New Roman"/>
                <w:szCs w:val="24"/>
              </w:rPr>
              <w:instrText xml:space="preserve"> FORMCHECKBOX </w:instrText>
            </w:r>
            <w:r w:rsidRPr="00BF21F6">
              <w:rPr>
                <w:rFonts w:eastAsia="Times New Roman"/>
                <w:szCs w:val="24"/>
              </w:rPr>
            </w:r>
            <w:r w:rsidRPr="00BF21F6">
              <w:rPr>
                <w:rFonts w:eastAsia="Times New Roman"/>
                <w:szCs w:val="24"/>
              </w:rPr>
              <w:fldChar w:fldCharType="separate"/>
            </w:r>
            <w:r w:rsidRPr="00BF21F6">
              <w:rPr>
                <w:rFonts w:eastAsia="Times New Roman"/>
                <w:szCs w:val="24"/>
              </w:rPr>
              <w:fldChar w:fldCharType="end"/>
            </w:r>
            <w:r w:rsidRPr="00BF21F6">
              <w:rPr>
                <w:rFonts w:eastAsia="Times New Roman"/>
                <w:szCs w:val="24"/>
              </w:rPr>
              <w:t xml:space="preserve"> No recommendation from the region to NCWM</w:t>
            </w:r>
          </w:p>
          <w:p w14:paraId="5002F282" w14:textId="77777777" w:rsidR="00BF21F6" w:rsidRPr="00BF21F6" w:rsidRDefault="00BF21F6" w:rsidP="00BF21F6">
            <w:pPr>
              <w:spacing w:after="0"/>
              <w:ind w:left="360"/>
              <w:rPr>
                <w:rFonts w:eastAsia="Times New Roman"/>
                <w:i/>
                <w:szCs w:val="24"/>
              </w:rPr>
            </w:pPr>
            <w:r w:rsidRPr="00BF21F6">
              <w:rPr>
                <w:rFonts w:eastAsia="Times New Roman"/>
                <w:i/>
                <w:szCs w:val="24"/>
              </w:rPr>
              <w:t xml:space="preserve">       (If this is a new proposal, it will not be forwarded to the national committee by this region)</w:t>
            </w:r>
          </w:p>
          <w:p w14:paraId="1C1E39D3" w14:textId="77777777" w:rsidR="00BF21F6" w:rsidRPr="00BF21F6" w:rsidRDefault="00BF21F6" w:rsidP="00BF21F6">
            <w:pPr>
              <w:spacing w:after="0"/>
              <w:ind w:left="360"/>
              <w:rPr>
                <w:rFonts w:eastAsia="Times New Roman"/>
                <w:szCs w:val="24"/>
              </w:rPr>
            </w:pPr>
          </w:p>
        </w:tc>
      </w:tr>
      <w:tr w:rsidR="00BF21F6" w:rsidRPr="00BF21F6" w14:paraId="642ED0BD" w14:textId="77777777" w:rsidTr="00192992">
        <w:tc>
          <w:tcPr>
            <w:tcW w:w="9350" w:type="dxa"/>
            <w:tcBorders>
              <w:top w:val="single" w:sz="4" w:space="0" w:color="auto"/>
              <w:left w:val="single" w:sz="4" w:space="0" w:color="auto"/>
              <w:bottom w:val="single" w:sz="4" w:space="0" w:color="auto"/>
              <w:right w:val="single" w:sz="4" w:space="0" w:color="auto"/>
            </w:tcBorders>
            <w:hideMark/>
          </w:tcPr>
          <w:p w14:paraId="7991A9DF" w14:textId="77777777" w:rsidR="00BF21F6" w:rsidRPr="00BF21F6" w:rsidRDefault="00BF21F6" w:rsidP="00BF21F6">
            <w:pPr>
              <w:spacing w:after="0"/>
              <w:rPr>
                <w:rFonts w:eastAsia="Times New Roman"/>
                <w:b/>
                <w:szCs w:val="24"/>
              </w:rPr>
            </w:pPr>
            <w:r w:rsidRPr="00BF21F6">
              <w:rPr>
                <w:rFonts w:eastAsia="Times New Roman"/>
                <w:b/>
                <w:szCs w:val="24"/>
              </w:rPr>
              <w:t xml:space="preserve">Comments and justification for the regional recommendation to NCWM: </w:t>
            </w:r>
            <w:r w:rsidRPr="00BF21F6">
              <w:rPr>
                <w:rFonts w:eastAsia="Times New Roman"/>
                <w:i/>
                <w:szCs w:val="24"/>
              </w:rPr>
              <w:t>(This will appear in NCWM reports)</w:t>
            </w:r>
          </w:p>
        </w:tc>
      </w:tr>
      <w:tr w:rsidR="00BF21F6" w:rsidRPr="00BF21F6" w14:paraId="3FB6B068" w14:textId="77777777" w:rsidTr="00192992">
        <w:tc>
          <w:tcPr>
            <w:tcW w:w="9350" w:type="dxa"/>
            <w:tcBorders>
              <w:top w:val="single" w:sz="4" w:space="0" w:color="auto"/>
              <w:left w:val="single" w:sz="4" w:space="0" w:color="auto"/>
              <w:bottom w:val="single" w:sz="4" w:space="0" w:color="auto"/>
              <w:right w:val="single" w:sz="4" w:space="0" w:color="auto"/>
            </w:tcBorders>
          </w:tcPr>
          <w:p w14:paraId="730ABEE5" w14:textId="77777777" w:rsidR="00BF21F6" w:rsidRPr="00BF21F6" w:rsidRDefault="00BF21F6" w:rsidP="00BF21F6">
            <w:pPr>
              <w:spacing w:after="0"/>
              <w:rPr>
                <w:rFonts w:eastAsia="Times New Roman"/>
                <w:szCs w:val="24"/>
              </w:rPr>
            </w:pPr>
          </w:p>
          <w:p w14:paraId="7E4A4808" w14:textId="77777777" w:rsidR="00BF21F6" w:rsidRPr="00BF21F6" w:rsidRDefault="00BF21F6" w:rsidP="00BF21F6">
            <w:pPr>
              <w:spacing w:after="0"/>
              <w:rPr>
                <w:rFonts w:eastAsia="Times New Roman"/>
                <w:szCs w:val="24"/>
              </w:rPr>
            </w:pPr>
          </w:p>
          <w:p w14:paraId="02BA4A07" w14:textId="77777777" w:rsidR="00BF21F6" w:rsidRPr="00BF21F6" w:rsidRDefault="00BF21F6" w:rsidP="00BF21F6">
            <w:pPr>
              <w:spacing w:after="0"/>
              <w:rPr>
                <w:rFonts w:eastAsia="Times New Roman"/>
                <w:szCs w:val="24"/>
              </w:rPr>
            </w:pPr>
          </w:p>
        </w:tc>
      </w:tr>
    </w:tbl>
    <w:p w14:paraId="71CB4ABA" w14:textId="77777777" w:rsidR="00B91980" w:rsidRDefault="00B91980" w:rsidP="00B91980">
      <w:pPr>
        <w:spacing w:after="0"/>
      </w:pPr>
    </w:p>
    <w:p w14:paraId="062CC30F" w14:textId="17D63A3C" w:rsidR="00275612" w:rsidRDefault="007F59A9" w:rsidP="00FE2E49">
      <w:pPr>
        <w:pStyle w:val="Heading1"/>
      </w:pPr>
      <w:bookmarkStart w:id="74" w:name="_Toc143527726"/>
      <w:bookmarkEnd w:id="12"/>
      <w:bookmarkEnd w:id="13"/>
      <w:bookmarkEnd w:id="14"/>
      <w:bookmarkEnd w:id="15"/>
      <w:bookmarkEnd w:id="16"/>
      <w:bookmarkEnd w:id="17"/>
      <w:bookmarkEnd w:id="18"/>
      <w:bookmarkEnd w:id="19"/>
      <w:r>
        <w:lastRenderedPageBreak/>
        <w:t xml:space="preserve">Item block </w:t>
      </w:r>
      <w:r w:rsidR="00ED6474">
        <w:t>1</w:t>
      </w:r>
      <w:r>
        <w:t xml:space="preserve"> (b</w:t>
      </w:r>
      <w:r w:rsidR="00ED6474">
        <w:t>1</w:t>
      </w:r>
      <w:r>
        <w:t>)</w:t>
      </w:r>
      <w:r>
        <w:tab/>
        <w:t>Transfer Standard</w:t>
      </w:r>
      <w:bookmarkEnd w:id="74"/>
    </w:p>
    <w:p w14:paraId="003E09ED" w14:textId="0B8C2FA1" w:rsidR="00BE6B12" w:rsidRPr="00FE73A7" w:rsidRDefault="00801555" w:rsidP="00FE2E49">
      <w:pPr>
        <w:pStyle w:val="ItemHeading"/>
        <w:keepNext/>
        <w:keepLines/>
        <w:rPr>
          <w:u w:val="single"/>
        </w:rPr>
      </w:pPr>
      <w:bookmarkStart w:id="75" w:name="_Toc143527727"/>
      <w:r>
        <w:t>B1-LMD-24.1</w:t>
      </w:r>
      <w:r w:rsidR="00BE6B12" w:rsidRPr="003C355F">
        <w:tab/>
      </w:r>
      <w:r w:rsidR="00BE6B12" w:rsidRPr="003C355F">
        <w:tab/>
      </w:r>
      <w:r w:rsidR="00102708" w:rsidRPr="009A40BD">
        <w:rPr>
          <w:i/>
          <w:iCs w:val="0"/>
          <w:strike/>
        </w:rPr>
        <w:t>N.3.5.X.</w:t>
      </w:r>
      <w:r w:rsidR="00102708">
        <w:t xml:space="preserve"> </w:t>
      </w:r>
      <w:r w:rsidR="00FE73A7">
        <w:rPr>
          <w:i/>
          <w:iCs w:val="0"/>
          <w:strike/>
        </w:rPr>
        <w:t>Field Standard Meter Test</w:t>
      </w:r>
      <w:r w:rsidR="009A40BD" w:rsidRPr="009A40BD">
        <w:rPr>
          <w:u w:val="single"/>
        </w:rPr>
        <w:t xml:space="preserve">N.3.5.X. </w:t>
      </w:r>
      <w:r w:rsidR="002B296C" w:rsidRPr="009A40BD">
        <w:rPr>
          <w:u w:val="single"/>
        </w:rPr>
        <w:t xml:space="preserve">Transfer </w:t>
      </w:r>
      <w:r w:rsidR="002B296C">
        <w:rPr>
          <w:u w:val="single"/>
        </w:rPr>
        <w:t>Standard Test.</w:t>
      </w:r>
      <w:bookmarkEnd w:id="75"/>
    </w:p>
    <w:p w14:paraId="292821C6" w14:textId="4BF2BBA8" w:rsidR="003A2F40" w:rsidRPr="00FE73A7" w:rsidRDefault="003A2F40" w:rsidP="00FE2E49">
      <w:pPr>
        <w:pStyle w:val="ItemHeading"/>
        <w:keepNext/>
        <w:keepLines/>
        <w:rPr>
          <w:u w:val="single"/>
        </w:rPr>
      </w:pPr>
      <w:bookmarkStart w:id="76" w:name="_Toc143527728"/>
      <w:r>
        <w:t>B1-VTM-24.1</w:t>
      </w:r>
      <w:r w:rsidRPr="003C355F">
        <w:tab/>
      </w:r>
      <w:r w:rsidRPr="003C355F">
        <w:tab/>
      </w:r>
      <w:r w:rsidRPr="009A40BD">
        <w:rPr>
          <w:i/>
          <w:iCs w:val="0"/>
          <w:strike/>
        </w:rPr>
        <w:t>N.3.5.X.</w:t>
      </w:r>
      <w:r>
        <w:t xml:space="preserve"> </w:t>
      </w:r>
      <w:r>
        <w:rPr>
          <w:i/>
          <w:iCs w:val="0"/>
          <w:strike/>
        </w:rPr>
        <w:t>Field Standard Meter Test</w:t>
      </w:r>
      <w:r w:rsidR="009A40BD" w:rsidRPr="009A40BD">
        <w:rPr>
          <w:u w:val="single"/>
        </w:rPr>
        <w:t xml:space="preserve">N.3.5.X. </w:t>
      </w:r>
      <w:r>
        <w:rPr>
          <w:u w:val="single"/>
        </w:rPr>
        <w:t>Transfer Standard Test.</w:t>
      </w:r>
      <w:bookmarkEnd w:id="76"/>
    </w:p>
    <w:p w14:paraId="2F512035" w14:textId="51AF27F6" w:rsidR="00B938EF" w:rsidRPr="00FE73A7" w:rsidRDefault="00B938EF" w:rsidP="00FE2E49">
      <w:pPr>
        <w:pStyle w:val="ItemHeading"/>
        <w:keepNext/>
        <w:keepLines/>
        <w:rPr>
          <w:u w:val="single"/>
        </w:rPr>
      </w:pPr>
      <w:bookmarkStart w:id="77" w:name="_Toc143527729"/>
      <w:r>
        <w:t>B1-</w:t>
      </w:r>
      <w:r w:rsidR="00853D9A">
        <w:t>LPG</w:t>
      </w:r>
      <w:r>
        <w:t>-24.</w:t>
      </w:r>
      <w:r w:rsidR="00853D9A">
        <w:t>3</w:t>
      </w:r>
      <w:r w:rsidRPr="003C355F">
        <w:tab/>
      </w:r>
      <w:r w:rsidRPr="003C355F">
        <w:tab/>
      </w:r>
      <w:r>
        <w:t>N.3.</w:t>
      </w:r>
      <w:r w:rsidR="002709D3">
        <w:t xml:space="preserve">2. </w:t>
      </w:r>
      <w:r w:rsidR="00C36263">
        <w:rPr>
          <w:strike/>
        </w:rPr>
        <w:t>Field Standard Meter</w:t>
      </w:r>
      <w:r>
        <w:rPr>
          <w:u w:val="single"/>
        </w:rPr>
        <w:t>Transfer Standard</w:t>
      </w:r>
      <w:r w:rsidRPr="00D37B38">
        <w:t xml:space="preserve"> Test.</w:t>
      </w:r>
      <w:bookmarkEnd w:id="77"/>
    </w:p>
    <w:p w14:paraId="67ABDA8E" w14:textId="5173B368" w:rsidR="00460689" w:rsidRPr="00332502" w:rsidRDefault="00460689" w:rsidP="00FE2E49">
      <w:pPr>
        <w:pStyle w:val="ItemHeading"/>
        <w:keepNext/>
        <w:keepLines/>
        <w:rPr>
          <w:u w:val="single"/>
        </w:rPr>
      </w:pPr>
      <w:bookmarkStart w:id="78" w:name="_Toc143527730"/>
      <w:r>
        <w:t>B1-MLK-24.1</w:t>
      </w:r>
      <w:r w:rsidRPr="003C355F">
        <w:tab/>
      </w:r>
      <w:r w:rsidRPr="003C355F">
        <w:tab/>
      </w:r>
      <w:r w:rsidRPr="0028607A">
        <w:rPr>
          <w:i/>
          <w:iCs w:val="0"/>
          <w:strike/>
        </w:rPr>
        <w:t>N.3.2.</w:t>
      </w:r>
      <w:r w:rsidR="00332502">
        <w:rPr>
          <w:i/>
          <w:iCs w:val="0"/>
          <w:strike/>
        </w:rPr>
        <w:t xml:space="preserve"> Field Standard Meter Test.</w:t>
      </w:r>
      <w:r w:rsidR="00332502">
        <w:rPr>
          <w:u w:val="single"/>
        </w:rPr>
        <w:t>N.3.2. Transfer Standard Test.</w:t>
      </w:r>
      <w:bookmarkEnd w:id="78"/>
    </w:p>
    <w:p w14:paraId="6EE7D44E" w14:textId="28BCD1F1" w:rsidR="00BA7AEC" w:rsidRPr="00332502" w:rsidRDefault="00BA7AEC" w:rsidP="00FE2E49">
      <w:pPr>
        <w:pStyle w:val="ItemHeading"/>
        <w:keepNext/>
        <w:keepLines/>
        <w:rPr>
          <w:u w:val="single"/>
        </w:rPr>
      </w:pPr>
      <w:bookmarkStart w:id="79" w:name="_Toc143527731"/>
      <w:r>
        <w:t>B1-MFM-24.1</w:t>
      </w:r>
      <w:r w:rsidRPr="003C355F">
        <w:tab/>
      </w:r>
      <w:r w:rsidRPr="003C355F">
        <w:tab/>
      </w:r>
      <w:r>
        <w:rPr>
          <w:i/>
          <w:iCs w:val="0"/>
          <w:strike/>
        </w:rPr>
        <w:t>.</w:t>
      </w:r>
      <w:r w:rsidRPr="00BC21BB">
        <w:t>N.3.2.</w:t>
      </w:r>
      <w:r w:rsidR="00BC21BB">
        <w:t xml:space="preserve"> </w:t>
      </w:r>
      <w:r w:rsidR="00003118">
        <w:rPr>
          <w:strike/>
        </w:rPr>
        <w:t>Field Standard Meter</w:t>
      </w:r>
      <w:r>
        <w:rPr>
          <w:u w:val="single"/>
        </w:rPr>
        <w:t>Transfer Standard</w:t>
      </w:r>
      <w:r w:rsidRPr="00003118">
        <w:t xml:space="preserve"> Test.</w:t>
      </w:r>
      <w:bookmarkEnd w:id="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F21F6" w:rsidRPr="00A43BF4" w14:paraId="210D6C9C" w14:textId="77777777" w:rsidTr="00BF21F6">
        <w:tc>
          <w:tcPr>
            <w:tcW w:w="9355" w:type="dxa"/>
            <w:tcBorders>
              <w:top w:val="single" w:sz="4" w:space="0" w:color="auto"/>
              <w:left w:val="single" w:sz="4" w:space="0" w:color="auto"/>
              <w:bottom w:val="single" w:sz="4" w:space="0" w:color="auto"/>
              <w:right w:val="single" w:sz="4" w:space="0" w:color="auto"/>
            </w:tcBorders>
            <w:vAlign w:val="center"/>
            <w:hideMark/>
          </w:tcPr>
          <w:p w14:paraId="7F314ABF" w14:textId="10B18873" w:rsidR="00BF21F6" w:rsidRPr="00A43BF4" w:rsidRDefault="00730B8E" w:rsidP="00FE2E49">
            <w:pPr>
              <w:keepNext/>
              <w:keepLines/>
              <w:spacing w:after="120"/>
              <w:jc w:val="center"/>
              <w:rPr>
                <w:rFonts w:eastAsia="Times New Roman"/>
                <w:b/>
                <w:szCs w:val="24"/>
              </w:rPr>
            </w:pPr>
            <w:r>
              <w:rPr>
                <w:rFonts w:eastAsia="Times New Roman"/>
                <w:b/>
                <w:szCs w:val="24"/>
              </w:rPr>
              <w:t>ITEM BLOCK 1</w:t>
            </w:r>
          </w:p>
        </w:tc>
      </w:tr>
      <w:tr w:rsidR="00BF21F6" w:rsidRPr="00A43BF4" w14:paraId="1DB8DB7A" w14:textId="77777777" w:rsidTr="00BF21F6">
        <w:tc>
          <w:tcPr>
            <w:tcW w:w="9355" w:type="dxa"/>
            <w:tcBorders>
              <w:top w:val="single" w:sz="24" w:space="0" w:color="auto"/>
              <w:left w:val="single" w:sz="4" w:space="0" w:color="auto"/>
              <w:bottom w:val="single" w:sz="4" w:space="0" w:color="auto"/>
              <w:right w:val="single" w:sz="4" w:space="0" w:color="auto"/>
            </w:tcBorders>
          </w:tcPr>
          <w:p w14:paraId="1B0C73D1" w14:textId="77777777" w:rsidR="00BF21F6" w:rsidRPr="00A43BF4" w:rsidRDefault="00BF21F6" w:rsidP="00FE2E49">
            <w:pPr>
              <w:keepNext/>
              <w:keepLines/>
              <w:spacing w:after="0"/>
              <w:rPr>
                <w:rFonts w:eastAsia="Times New Roman"/>
                <w:b/>
                <w:szCs w:val="24"/>
              </w:rPr>
            </w:pPr>
            <w:r w:rsidRPr="00A43BF4">
              <w:rPr>
                <w:rFonts w:eastAsia="Times New Roman"/>
                <w:b/>
                <w:szCs w:val="24"/>
              </w:rPr>
              <w:t>Regional recommendation to NCWM on item status:</w:t>
            </w:r>
          </w:p>
          <w:p w14:paraId="47C3D5EB" w14:textId="77777777" w:rsidR="00BF21F6" w:rsidRPr="00A43BF4" w:rsidRDefault="00BF21F6" w:rsidP="00FE2E49">
            <w:pPr>
              <w:keepNext/>
              <w:keepLines/>
              <w:spacing w:after="0"/>
              <w:rPr>
                <w:rFonts w:eastAsia="Times New Roman"/>
                <w:szCs w:val="24"/>
              </w:rPr>
            </w:pPr>
          </w:p>
          <w:p w14:paraId="3EF26CAA" w14:textId="77777777" w:rsidR="00BF21F6" w:rsidRPr="00A43BF4" w:rsidRDefault="00BF21F6" w:rsidP="00FE2E49">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753F9CDB" w14:textId="77777777" w:rsidR="00BF21F6" w:rsidRPr="00A43BF4" w:rsidRDefault="00BF21F6" w:rsidP="00FE2E49">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24717B5D" w14:textId="77777777" w:rsidR="00BF21F6" w:rsidRPr="00A43BF4" w:rsidRDefault="00BF21F6" w:rsidP="00FE2E49">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309677BA" w14:textId="77777777" w:rsidR="00BF21F6" w:rsidRPr="00A43BF4" w:rsidRDefault="00BF21F6" w:rsidP="00FE2E49">
            <w:pPr>
              <w:keepNext/>
              <w:keepLines/>
              <w:spacing w:after="0"/>
              <w:ind w:left="720"/>
              <w:rPr>
                <w:rFonts w:eastAsia="Times New Roman"/>
                <w:szCs w:val="24"/>
              </w:rPr>
            </w:pPr>
            <w:r w:rsidRPr="00A43BF4">
              <w:rPr>
                <w:rFonts w:eastAsia="Times New Roman"/>
                <w:i/>
                <w:szCs w:val="24"/>
              </w:rPr>
              <w:t>(To be developed by an NCWM Task Group or Subcommittee)</w:t>
            </w:r>
          </w:p>
          <w:p w14:paraId="177BE55A" w14:textId="77777777" w:rsidR="00BF21F6" w:rsidRPr="00A43BF4" w:rsidRDefault="00BF21F6" w:rsidP="00FE2E49">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71A6BD1" w14:textId="77777777" w:rsidR="00BF21F6" w:rsidRPr="00A43BF4" w:rsidRDefault="00BF21F6" w:rsidP="00FE2E49">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1BA6D44B" w14:textId="77777777" w:rsidR="00BF21F6" w:rsidRPr="00A43BF4" w:rsidRDefault="00BF21F6" w:rsidP="00FE2E49">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A2B10E5" w14:textId="77777777" w:rsidR="00BF21F6" w:rsidRPr="00A43BF4" w:rsidRDefault="00BF21F6" w:rsidP="00FE2E49">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1133FE41" w14:textId="77777777" w:rsidR="00BF21F6" w:rsidRPr="00A43BF4" w:rsidRDefault="00BF21F6" w:rsidP="00FE2E49">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2ADCE05" w14:textId="77777777" w:rsidR="00BF21F6" w:rsidRPr="00A43BF4" w:rsidRDefault="00BF21F6" w:rsidP="00FE2E49">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0C55774" w14:textId="77777777" w:rsidR="00BF21F6" w:rsidRPr="00A43BF4" w:rsidRDefault="00BF21F6" w:rsidP="00FE2E49">
            <w:pPr>
              <w:keepNext/>
              <w:keepLines/>
              <w:spacing w:after="0"/>
              <w:ind w:left="360"/>
              <w:rPr>
                <w:rFonts w:eastAsia="Times New Roman"/>
                <w:szCs w:val="24"/>
              </w:rPr>
            </w:pPr>
          </w:p>
        </w:tc>
      </w:tr>
      <w:tr w:rsidR="00BF21F6" w:rsidRPr="00A43BF4" w14:paraId="47727863" w14:textId="77777777" w:rsidTr="00BF21F6">
        <w:tc>
          <w:tcPr>
            <w:tcW w:w="9355" w:type="dxa"/>
            <w:tcBorders>
              <w:top w:val="single" w:sz="4" w:space="0" w:color="auto"/>
              <w:left w:val="single" w:sz="4" w:space="0" w:color="auto"/>
              <w:bottom w:val="single" w:sz="4" w:space="0" w:color="auto"/>
              <w:right w:val="single" w:sz="4" w:space="0" w:color="auto"/>
            </w:tcBorders>
            <w:hideMark/>
          </w:tcPr>
          <w:p w14:paraId="57C8A518" w14:textId="77777777" w:rsidR="00BF21F6" w:rsidRPr="00A43BF4" w:rsidRDefault="00BF21F6" w:rsidP="00FE2E49">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BF21F6" w:rsidRPr="00A43BF4" w14:paraId="4ED00006" w14:textId="77777777" w:rsidTr="00BF21F6">
        <w:tc>
          <w:tcPr>
            <w:tcW w:w="9355" w:type="dxa"/>
            <w:tcBorders>
              <w:top w:val="single" w:sz="4" w:space="0" w:color="auto"/>
              <w:left w:val="single" w:sz="4" w:space="0" w:color="auto"/>
              <w:bottom w:val="single" w:sz="4" w:space="0" w:color="auto"/>
              <w:right w:val="single" w:sz="4" w:space="0" w:color="auto"/>
            </w:tcBorders>
          </w:tcPr>
          <w:p w14:paraId="0D8152AC" w14:textId="77777777" w:rsidR="00BF21F6" w:rsidRPr="00A43BF4" w:rsidRDefault="00BF21F6" w:rsidP="00FE2E49">
            <w:pPr>
              <w:keepNext/>
              <w:keepLines/>
              <w:spacing w:after="0"/>
              <w:rPr>
                <w:rFonts w:eastAsia="Times New Roman"/>
                <w:szCs w:val="24"/>
              </w:rPr>
            </w:pPr>
          </w:p>
          <w:p w14:paraId="354D48C2" w14:textId="77777777" w:rsidR="00BF21F6" w:rsidRPr="00A43BF4" w:rsidRDefault="00BF21F6" w:rsidP="00FE2E49">
            <w:pPr>
              <w:keepNext/>
              <w:keepLines/>
              <w:spacing w:after="0"/>
              <w:rPr>
                <w:rFonts w:eastAsia="Times New Roman"/>
                <w:szCs w:val="24"/>
              </w:rPr>
            </w:pPr>
          </w:p>
          <w:p w14:paraId="70ECFDC2" w14:textId="77777777" w:rsidR="00BF21F6" w:rsidRPr="00A43BF4" w:rsidRDefault="00BF21F6" w:rsidP="00FE2E49">
            <w:pPr>
              <w:keepNext/>
              <w:keepLines/>
              <w:spacing w:after="0"/>
              <w:rPr>
                <w:rFonts w:eastAsia="Times New Roman"/>
                <w:szCs w:val="24"/>
              </w:rPr>
            </w:pPr>
          </w:p>
        </w:tc>
      </w:tr>
    </w:tbl>
    <w:p w14:paraId="45405701" w14:textId="77777777" w:rsidR="00BF21F6" w:rsidRDefault="00BF21F6" w:rsidP="00FE2E49">
      <w:pPr>
        <w:keepNext/>
        <w:keepLines/>
      </w:pPr>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F21F6">
        <w:tc>
          <w:tcPr>
            <w:tcW w:w="4795" w:type="dxa"/>
            <w:tcBorders>
              <w:top w:val="nil"/>
              <w:left w:val="nil"/>
              <w:bottom w:val="single" w:sz="8" w:space="0" w:color="auto"/>
              <w:right w:val="nil"/>
            </w:tcBorders>
          </w:tcPr>
          <w:p w14:paraId="3925CE2F" w14:textId="749CFA6E" w:rsidR="007D5BEA" w:rsidRPr="00A20A53" w:rsidRDefault="007D5BEA" w:rsidP="00BF01D9">
            <w:pPr>
              <w:pStyle w:val="TableText"/>
              <w:keepNext/>
              <w:keepLines/>
            </w:pPr>
          </w:p>
        </w:tc>
      </w:tr>
    </w:tbl>
    <w:p w14:paraId="5FD84B3D" w14:textId="25121CD1" w:rsidR="00227EF2" w:rsidRPr="00F4615B" w:rsidRDefault="00AC046A" w:rsidP="00BF01D9">
      <w:pPr>
        <w:pStyle w:val="CommitteeMemberNames"/>
        <w:keepNext/>
        <w:keepLines/>
        <w:suppressLineNumbers/>
        <w:spacing w:before="120"/>
        <w:rPr>
          <w:strike/>
        </w:rPr>
      </w:pPr>
      <w:bookmarkStart w:id="80" w:name="_Hlk73973905"/>
      <w:r w:rsidRPr="00A20A53">
        <w:t xml:space="preserve">Mr. </w:t>
      </w:r>
      <w:r w:rsidR="00972305">
        <w:t>J</w:t>
      </w:r>
      <w:r w:rsidR="002173B7">
        <w:t>im Willis</w:t>
      </w:r>
      <w:r w:rsidR="00972305">
        <w:t xml:space="preserve">, </w:t>
      </w:r>
      <w:r w:rsidR="008A620B">
        <w:t>State of New York</w:t>
      </w:r>
      <w:r w:rsidR="008123AF" w:rsidRPr="00A20A53">
        <w:t xml:space="preserve"> </w:t>
      </w:r>
      <w:r w:rsidR="00EE126A" w:rsidRPr="00A20A53">
        <w:t>|</w:t>
      </w:r>
      <w:r w:rsidR="00227EF2" w:rsidRPr="00AC046A">
        <w:t xml:space="preserve"> Committee Chair</w:t>
      </w:r>
    </w:p>
    <w:p w14:paraId="06753C04" w14:textId="3D069845" w:rsidR="00227EF2" w:rsidRDefault="0068105D" w:rsidP="00BF01D9">
      <w:pPr>
        <w:pStyle w:val="CommitteeMemberNames"/>
        <w:keepNext/>
        <w:keepLines/>
        <w:suppressLineNumbers/>
      </w:pPr>
      <w:r w:rsidRPr="00A20A53">
        <w:t xml:space="preserve">Mr. </w:t>
      </w:r>
      <w:r w:rsidR="008A620B">
        <w:t>Steve Timar</w:t>
      </w:r>
      <w:r w:rsidR="00414AA4">
        <w:t>, State of New York</w:t>
      </w:r>
      <w:r w:rsidR="00227EF2" w:rsidRPr="00A20A53">
        <w:t xml:space="preserve"> | </w:t>
      </w:r>
      <w:r w:rsidR="0022615E">
        <w:t>Vice-Chair</w:t>
      </w:r>
      <w:r w:rsidR="00227EF2" w:rsidRPr="00A20A53">
        <w:t xml:space="preserve"> </w:t>
      </w:r>
    </w:p>
    <w:p w14:paraId="7C35771D" w14:textId="65CDC6A5" w:rsidR="00D4033D" w:rsidRDefault="00D4033D" w:rsidP="00BF01D9">
      <w:pPr>
        <w:pStyle w:val="CommitteeMemberNames"/>
        <w:keepNext/>
        <w:keepLines/>
        <w:suppressLineNumbers/>
      </w:pPr>
      <w:r w:rsidRPr="00A20A53">
        <w:t>Mr.</w:t>
      </w:r>
      <w:r>
        <w:t xml:space="preserve"> Jason Flint, New Jersey</w:t>
      </w:r>
      <w:r w:rsidRPr="00A20A53">
        <w:t xml:space="preserve"> | Member</w:t>
      </w:r>
    </w:p>
    <w:p w14:paraId="237AD820" w14:textId="6E44DC43" w:rsidR="008123AF" w:rsidRDefault="008123AF" w:rsidP="00BF01D9">
      <w:pPr>
        <w:pStyle w:val="CommitteeMemberNames"/>
        <w:keepNext/>
        <w:keepLines/>
        <w:suppressLineNumbers/>
      </w:pPr>
      <w:r w:rsidRPr="00A20A53">
        <w:t>Mr.</w:t>
      </w:r>
      <w:r w:rsidR="00414AA4">
        <w:t xml:space="preserve"> Angel Nazario, City of Boston, MA</w:t>
      </w:r>
      <w:r w:rsidRPr="00A20A53">
        <w:t xml:space="preserve"> | Member</w:t>
      </w:r>
    </w:p>
    <w:p w14:paraId="3BCDFFB0" w14:textId="4C34FBC9" w:rsidR="00563524" w:rsidRDefault="0009664C" w:rsidP="007E56A0">
      <w:pPr>
        <w:keepNext/>
        <w:keepLines/>
        <w:suppressLineNumbers/>
        <w:spacing w:before="120" w:after="0"/>
        <w:jc w:val="left"/>
        <w:rPr>
          <w:rFonts w:eastAsia="Times New Roman"/>
          <w:b/>
          <w:szCs w:val="18"/>
        </w:rPr>
        <w:sectPr w:rsidR="00563524" w:rsidSect="003F0BD4">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lnNumType w:countBy="1"/>
          <w:pgNumType w:start="217"/>
          <w:cols w:space="720"/>
          <w:docGrid w:linePitch="360"/>
        </w:sectPr>
      </w:pPr>
      <w:r w:rsidRPr="0009664C">
        <w:rPr>
          <w:rFonts w:eastAsia="Times New Roman"/>
          <w:b/>
          <w:szCs w:val="18"/>
        </w:rPr>
        <w:t>Specifications and Tolerances Committee</w:t>
      </w:r>
      <w:bookmarkEnd w:id="80"/>
    </w:p>
    <w:p w14:paraId="5D3F2186" w14:textId="09446AA2" w:rsidR="00EF3BE4" w:rsidRPr="000F7F72" w:rsidRDefault="008123AF" w:rsidP="000F7F72">
      <w:pPr>
        <w:pStyle w:val="Heading2"/>
        <w:jc w:val="center"/>
        <w:rPr>
          <w:b/>
          <w:bCs/>
          <w:sz w:val="32"/>
          <w:szCs w:val="32"/>
        </w:rPr>
      </w:pPr>
      <w:bookmarkStart w:id="81" w:name="Appendix_A"/>
      <w:bookmarkStart w:id="82" w:name="AppendixB"/>
      <w:r w:rsidRPr="000F7F72">
        <w:rPr>
          <w:b/>
          <w:bCs/>
          <w:sz w:val="32"/>
          <w:szCs w:val="32"/>
        </w:rPr>
        <w:lastRenderedPageBreak/>
        <w:t>A</w:t>
      </w:r>
      <w:bookmarkEnd w:id="81"/>
      <w:r w:rsidR="005D6200" w:rsidRPr="000F7F72">
        <w:rPr>
          <w:b/>
          <w:bCs/>
          <w:sz w:val="32"/>
          <w:szCs w:val="32"/>
        </w:rPr>
        <w:t>PPENDIX A</w:t>
      </w:r>
    </w:p>
    <w:bookmarkEnd w:id="82"/>
    <w:p w14:paraId="59F5EB84" w14:textId="77777777" w:rsidR="00EF3BE4" w:rsidRPr="00A20A53" w:rsidRDefault="00EF3BE4" w:rsidP="00EF3BE4">
      <w:pPr>
        <w:suppressLineNumbers/>
        <w:spacing w:after="0"/>
        <w:jc w:val="center"/>
        <w:rPr>
          <w:rFonts w:eastAsia="Times New Roman"/>
          <w:b/>
          <w:sz w:val="28"/>
          <w:szCs w:val="24"/>
        </w:rPr>
      </w:pPr>
    </w:p>
    <w:p w14:paraId="0A58487E" w14:textId="1F2F9CDC"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 xml:space="preserve">Item </w:t>
      </w:r>
      <w:r w:rsidR="00741AF9">
        <w:rPr>
          <w:rFonts w:eastAsia="Times New Roman"/>
          <w:b/>
          <w:sz w:val="24"/>
          <w:szCs w:val="22"/>
        </w:rPr>
        <w:t>SCL-23.3</w:t>
      </w:r>
      <w:r w:rsidRPr="008A3361">
        <w:rPr>
          <w:rFonts w:eastAsia="Times New Roman"/>
          <w:b/>
          <w:sz w:val="24"/>
          <w:szCs w:val="22"/>
        </w:rPr>
        <w:t xml:space="preserve"> – Final Report of the Verification Scale Division Task Group</w:t>
      </w:r>
    </w:p>
    <w:p w14:paraId="24202479" w14:textId="77777777" w:rsidR="00FA251A" w:rsidRDefault="00FA251A">
      <w:pPr>
        <w:spacing w:after="0"/>
        <w:jc w:val="left"/>
        <w:rPr>
          <w:rFonts w:eastAsia="Times New Roman"/>
          <w:b/>
          <w:szCs w:val="18"/>
        </w:rPr>
      </w:pPr>
    </w:p>
    <w:p w14:paraId="200447BA" w14:textId="25EEA774" w:rsidR="00820E7C" w:rsidRPr="006B0F14" w:rsidRDefault="00820E7C">
      <w:pPr>
        <w:spacing w:after="0"/>
        <w:jc w:val="left"/>
        <w:rPr>
          <w:rFonts w:eastAsia="Times New Roman"/>
          <w:b/>
          <w:szCs w:val="18"/>
        </w:rPr>
      </w:pPr>
      <w:r>
        <w:rPr>
          <w:i/>
          <w:iCs/>
        </w:rPr>
        <w:t xml:space="preserve">Note: This appendix originally appeared for </w:t>
      </w:r>
      <w:r>
        <w:rPr>
          <w:b/>
          <w:bCs/>
          <w:i/>
          <w:iCs/>
        </w:rPr>
        <w:t>Item Block 2 - Define True Value For Use In Error Calculations</w:t>
      </w:r>
      <w:r>
        <w:rPr>
          <w:i/>
          <w:iCs/>
        </w:rPr>
        <w:t xml:space="preserve">, which was withdrawn and replaced by </w:t>
      </w:r>
      <w:r>
        <w:rPr>
          <w:b/>
          <w:bCs/>
          <w:i/>
          <w:iCs/>
        </w:rPr>
        <w:t xml:space="preserve">SCL-23.3 - Verification Scale Division e: Multiple Sections Including, T.N.1.3., Table 6., T.N.3., T.N.4., T.N.6., T.N.8., T.N.9., T.1., T.2., S.1.1.1., T.N.1.2., Table S.6.3.a., Table S.3.6.b., Appendix D, S.1.2.2., Table 3., S.5.4., UR.3., Table 8. </w:t>
      </w:r>
      <w:r>
        <w:rPr>
          <w:i/>
          <w:iCs/>
        </w:rPr>
        <w:t>The Committee decided to preserve the appendix, since it remains relevant to item SCL-23.3.</w:t>
      </w:r>
    </w:p>
    <w:p w14:paraId="6646B5E0" w14:textId="77777777" w:rsidR="00820E7C" w:rsidRDefault="00820E7C" w:rsidP="00FA251A">
      <w:pPr>
        <w:spacing w:after="0"/>
        <w:jc w:val="left"/>
        <w:rPr>
          <w:rFonts w:eastAsiaTheme="minorHAnsi"/>
          <w:b/>
          <w:bCs/>
          <w:sz w:val="22"/>
          <w:szCs w:val="22"/>
          <w:u w:val="single"/>
        </w:rPr>
      </w:pPr>
    </w:p>
    <w:p w14:paraId="30EDDABF" w14:textId="100D38BF"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Clarify which is the proper reference; the verification scale division (e) or the scale division (d) throughout this section</w:t>
      </w:r>
    </w:p>
    <w:p w14:paraId="6F1C86BA"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4F7C91">
      <w:pPr>
        <w:keepNext/>
        <w:keepLines/>
        <w:spacing w:after="0"/>
        <w:rPr>
          <w:rFonts w:eastAsiaTheme="minorHAnsi"/>
        </w:rPr>
      </w:pPr>
      <w:r w:rsidRPr="00FA251A">
        <w:rPr>
          <w:rFonts w:eastAsiaTheme="minorHAnsi"/>
          <w:b/>
          <w:bCs/>
        </w:rPr>
        <w:t>verification scale division, value of (e).</w:t>
      </w:r>
      <w:r w:rsidRPr="00FA251A">
        <w:rPr>
          <w:rFonts w:eastAsiaTheme="minorHAnsi"/>
        </w:rPr>
        <w:t xml:space="preserve"> – A value, expressed in units of weight (mass) and specified by the manufacturer of a device, </w:t>
      </w:r>
      <w:bookmarkStart w:id="83" w:name="_Hlk53063683"/>
      <w:r w:rsidRPr="00FA251A">
        <w:rPr>
          <w:rFonts w:eastAsiaTheme="minorHAnsi"/>
        </w:rPr>
        <w:t>by which the tolerance values and the accuracy class applicable to the device are determined.</w:t>
      </w:r>
      <w:bookmarkEnd w:id="83"/>
      <w:r w:rsidRPr="00FA251A">
        <w:rPr>
          <w:rFonts w:eastAsiaTheme="minorHAnsi"/>
        </w:rPr>
        <w:t xml:space="preserve">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determined amounts, and certain other Class I and II scales.[2.20]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16" o:title=""/>
          </v:shape>
          <o:OLEObject Type="Embed" ProgID="Unknown" ShapeID="_x0000_i1025" DrawAspect="Content" ObjectID="_1754228473" r:id="rId17"/>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r w:rsidRPr="00FA251A">
              <w:rPr>
                <w:sz w:val="20"/>
                <w:szCs w:val="20"/>
              </w:rPr>
              <w:t>mfr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r w:rsidRPr="00FA251A">
              <w:rPr>
                <w:sz w:val="20"/>
                <w:szCs w:val="20"/>
              </w:rPr>
              <w:t>e ?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3"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5"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instrument scale – verification scale</w:t>
      </w:r>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lastRenderedPageBreak/>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Content Placeholder 22"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not in tolerance,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Content Placeholder 17"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artifact and the instrument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clearly in tolerance.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DC6A4E" w:rsidRDefault="00FA251A" w:rsidP="00926E8F">
      <w:pPr>
        <w:rPr>
          <w:rStyle w:val="Strong"/>
        </w:rPr>
      </w:pPr>
      <w:bookmarkStart w:id="84" w:name="_Toc22712553"/>
      <w:r w:rsidRPr="00DC6A4E">
        <w:rPr>
          <w:rStyle w:val="Strong"/>
        </w:rPr>
        <w:t>T.N.1.</w:t>
      </w:r>
      <w:r w:rsidRPr="00DC6A4E">
        <w:rPr>
          <w:rStyle w:val="Strong"/>
        </w:rPr>
        <w:tab/>
        <w:t>Principles.</w:t>
      </w:r>
      <w:bookmarkEnd w:id="84"/>
    </w:p>
    <w:p w14:paraId="18E691C7" w14:textId="77777777" w:rsidR="00FA251A" w:rsidRPr="00FA251A" w:rsidRDefault="00FA251A" w:rsidP="00C22E0A">
      <w:pPr>
        <w:tabs>
          <w:tab w:val="left" w:pos="1260"/>
        </w:tabs>
        <w:spacing w:after="120"/>
        <w:ind w:left="360"/>
        <w:rPr>
          <w:rFonts w:eastAsiaTheme="minorHAnsi"/>
        </w:rPr>
      </w:pPr>
      <w:bookmarkStart w:id="85" w:name="_Toc22712554"/>
      <w:r w:rsidRPr="00FA251A">
        <w:rPr>
          <w:rFonts w:eastAsiaTheme="minorHAnsi"/>
          <w:b/>
          <w:bCs/>
        </w:rPr>
        <w:t>T.N.1.1.</w:t>
      </w:r>
      <w:r w:rsidRPr="00FA251A">
        <w:rPr>
          <w:rFonts w:eastAsiaTheme="minorHAnsi"/>
          <w:b/>
          <w:bCs/>
        </w:rPr>
        <w:tab/>
        <w:t>Design.</w:t>
      </w:r>
      <w:bookmarkEnd w:id="85"/>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86" w:name="_Toc22712555"/>
      <w:r w:rsidRPr="00FA251A">
        <w:rPr>
          <w:rFonts w:eastAsiaTheme="minorHAnsi"/>
          <w:b/>
          <w:bCs/>
        </w:rPr>
        <w:t>T.N.1.2.</w:t>
      </w:r>
      <w:r w:rsidRPr="00FA251A">
        <w:rPr>
          <w:rFonts w:eastAsiaTheme="minorHAnsi"/>
          <w:b/>
          <w:bCs/>
        </w:rPr>
        <w:tab/>
        <w:t>Accuracy Classes.</w:t>
      </w:r>
      <w:bookmarkEnd w:id="86"/>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87" w:name="_Toc22712556"/>
      <w:r w:rsidRPr="00FA251A">
        <w:rPr>
          <w:rFonts w:eastAsiaTheme="minorHAnsi"/>
          <w:b/>
          <w:bCs/>
        </w:rPr>
        <w:t>T.N.1.3.</w:t>
      </w:r>
      <w:r w:rsidRPr="00FA251A">
        <w:rPr>
          <w:rFonts w:eastAsiaTheme="minorHAnsi"/>
          <w:b/>
          <w:bCs/>
        </w:rPr>
        <w:tab/>
        <w:t>Scale Division.</w:t>
      </w:r>
      <w:bookmarkEnd w:id="87"/>
      <w:r w:rsidRPr="00FA251A">
        <w:rPr>
          <w:rFonts w:eastAsiaTheme="minorHAnsi"/>
        </w:rPr>
        <w:t xml:space="preserve"> – The tolerance for a weighing device is related to the value of the scale division (d) or the value of the verification scale division (e) and is generally expressed in terms of d or e.</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minimum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4F7C91">
      <w:pPr>
        <w:keepNext/>
        <w:keepLines/>
        <w:spacing w:after="0"/>
        <w:rPr>
          <w:rFonts w:eastAsiaTheme="minorHAnsi"/>
        </w:rPr>
      </w:pPr>
      <w:r w:rsidRPr="00FA251A">
        <w:rPr>
          <w:rFonts w:eastAsiaTheme="minorHAnsi"/>
        </w:rPr>
        <w:lastRenderedPageBreak/>
        <w:t>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d. The workgroup is also proposing to add important material from R76 that is missing.</w:t>
      </w:r>
    </w:p>
    <w:p w14:paraId="700CDB3A" w14:textId="2883E8C2" w:rsidR="00FA251A" w:rsidRPr="00FA251A" w:rsidRDefault="00FA251A" w:rsidP="004F7C91">
      <w:pPr>
        <w:keepNext/>
        <w:keepLines/>
        <w:spacing w:after="0"/>
        <w:rPr>
          <w:rFonts w:eastAsiaTheme="minorHAnsi"/>
        </w:rPr>
      </w:pPr>
      <w:r w:rsidRPr="00FA251A">
        <w:rPr>
          <w:rFonts w:eastAsiaTheme="minorHAnsi"/>
          <w:noProof/>
        </w:rPr>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Some additional confusion comes from the stepped tolerance structure. For example, it is common to think that the instrument gets 1 division of error over the first tolerance step (maintenance). The correct interpretation of the code requires the instrument maintain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i.e. relative error. Section 2.2 of R76 makes this clear by stating that e represents absolute accuracy and n represents relative accuracy. The Scales Code has no parallel section. It is the relative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determined amounts, and certain other Class I and II scales.</w:t>
      </w:r>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The last sentence is explained fully in the technical requirements in the Code. The workgroup finds it unnecessary and believe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60pt;height:24.75pt" o:ole="">
            <v:imagedata r:id="rId23" o:title=""/>
          </v:shape>
          <o:OLEObject Type="Embed" ProgID="Equation.3" ShapeID="_x0000_i1026" DrawAspect="Content" ObjectID="_1754228474" r:id="rId24"/>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lastRenderedPageBreak/>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d or</w:t>
      </w:r>
      <w:r w:rsidRPr="00FA251A">
        <w:rPr>
          <w:rFonts w:eastAsiaTheme="minorHAnsi"/>
        </w:rPr>
        <w:t xml:space="preserve"> e.</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n</w:t>
            </w:r>
            <w:r w:rsidRPr="00FA251A">
              <w:rPr>
                <w:rFonts w:eastAsiaTheme="minorHAnsi"/>
                <w:i/>
                <w:vertAlign w:val="subscript"/>
              </w:rPr>
              <w:t>max</w:t>
            </w:r>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for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The changes to the header of Table 3 ensure the classification is based on e consistent with the definitions and the principles in T.N.1. The scale division d is not involved in classification. This change should reduce confusion. The 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32462A">
            <w:pPr>
              <w:numPr>
                <w:ilvl w:val="0"/>
                <w:numId w:val="24"/>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model designation prefix.*</w:t>
            </w:r>
          </w:p>
          <w:p w14:paraId="42BDCD8E" w14:textId="77777777" w:rsidR="00FA251A" w:rsidRPr="00FA251A" w:rsidRDefault="00FA251A" w:rsidP="00211893">
            <w:pPr>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[Prefix lettering may be initial capitals, all capitals or all lower case]</w:t>
            </w:r>
          </w:p>
          <w:p w14:paraId="0140FF5A" w14:textId="77777777" w:rsidR="00FA251A" w:rsidRPr="00FA251A" w:rsidRDefault="00FA251A" w:rsidP="00211893">
            <w:pPr>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32462A">
            <w:pPr>
              <w:numPr>
                <w:ilvl w:val="0"/>
                <w:numId w:val="24"/>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32462A">
            <w:pPr>
              <w:numPr>
                <w:ilvl w:val="0"/>
                <w:numId w:val="20"/>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32462A">
            <w:pPr>
              <w:numPr>
                <w:ilvl w:val="0"/>
                <w:numId w:val="21"/>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spacing w:after="0"/>
        <w:rPr>
          <w:rFonts w:eastAsiaTheme="minorHAnsi"/>
        </w:rPr>
      </w:pPr>
    </w:p>
    <w:p w14:paraId="18CA176E" w14:textId="77777777" w:rsidR="00FA251A" w:rsidRPr="00FA251A" w:rsidRDefault="00FA251A" w:rsidP="00211893">
      <w:pPr>
        <w:spacing w:after="0"/>
        <w:rPr>
          <w:rFonts w:eastAsiaTheme="minorHAnsi"/>
        </w:rPr>
      </w:pPr>
      <w:r w:rsidRPr="00FA251A">
        <w:rPr>
          <w:rFonts w:eastAsiaTheme="minorHAnsi"/>
        </w:rPr>
        <w:t>The original Scales Code adopted 1984 made d the primary mandatory marking but this resulted in confusion. The changes make e the mandatory marking and now requires d only if different from e.</w:t>
      </w:r>
    </w:p>
    <w:p w14:paraId="1BF19E38" w14:textId="77777777" w:rsidR="00FA251A" w:rsidRPr="00FA251A" w:rsidRDefault="00FA251A" w:rsidP="00211893">
      <w:pPr>
        <w:spacing w:after="0"/>
        <w:rPr>
          <w:rFonts w:eastAsiaTheme="minorHAnsi"/>
        </w:rPr>
      </w:pPr>
    </w:p>
    <w:p w14:paraId="1F4F9A38" w14:textId="77777777" w:rsidR="00FA251A" w:rsidRPr="00FA251A" w:rsidRDefault="00FA251A" w:rsidP="00211893">
      <w:pPr>
        <w:spacing w:after="0"/>
        <w:rPr>
          <w:rFonts w:eastAsiaTheme="minorHAnsi"/>
        </w:rPr>
      </w:pPr>
      <w:r w:rsidRPr="00FA251A">
        <w:rPr>
          <w:rFonts w:eastAsiaTheme="minorHAnsi"/>
        </w:rPr>
        <w:t xml:space="preserve">The changes regarding multiple range and multi-interval scales makes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if this might pose problems for existing equipment. If the marking is of the form “capacity 30 lb x 0.01 lb” the workgroup sees not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spacing w:after="0"/>
        <w:ind w:left="720"/>
        <w:jc w:val="left"/>
        <w:rPr>
          <w:rFonts w:eastAsiaTheme="minorHAnsi"/>
          <w:b/>
          <w:bCs/>
          <w:u w:val="single"/>
        </w:rPr>
      </w:pPr>
      <w:r w:rsidRPr="00FA251A">
        <w:rPr>
          <w:rFonts w:eastAsiaTheme="minorHAnsi"/>
          <w:b/>
          <w:bCs/>
        </w:rPr>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spacing w:after="0"/>
        <w:ind w:left="720"/>
        <w:jc w:val="left"/>
        <w:rPr>
          <w:rFonts w:eastAsiaTheme="minorHAnsi"/>
          <w:u w:val="single"/>
        </w:rPr>
      </w:pPr>
      <w:r w:rsidRPr="00FA251A">
        <w:rPr>
          <w:rFonts w:eastAsiaTheme="minorHAnsi"/>
          <w:u w:val="single"/>
        </w:rPr>
        <w:t>The magnitude of the verification scale division e relative to the scale division d for different types of devices is given in Table S.1.2.2. Relative Magnitude of e to d.</w:t>
      </w:r>
    </w:p>
    <w:p w14:paraId="7B0B2344" w14:textId="77777777" w:rsidR="00FA251A" w:rsidRPr="00FA251A" w:rsidRDefault="00FA251A" w:rsidP="00CD2DC6">
      <w:pPr>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lastRenderedPageBreak/>
              <w:t>Table S.1.2.2.</w:t>
            </w:r>
          </w:p>
          <w:p w14:paraId="7554EB46" w14:textId="524AF1CC" w:rsidR="00FA251A" w:rsidRPr="00FA251A"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e &gt; d and e is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e ≤ d and e is chosen by the manufacturer according to Table 3. and S.1.2.2.4.</w:t>
            </w:r>
          </w:p>
        </w:tc>
      </w:tr>
    </w:tbl>
    <w:p w14:paraId="4357C4E3" w14:textId="77777777" w:rsidR="00FA251A" w:rsidRPr="00FA251A" w:rsidRDefault="00FA251A" w:rsidP="00CD2DC6">
      <w:pPr>
        <w:spacing w:after="0"/>
        <w:ind w:left="720"/>
        <w:jc w:val="left"/>
        <w:rPr>
          <w:rFonts w:eastAsiaTheme="minorHAnsi"/>
          <w:i/>
          <w:iCs/>
        </w:rPr>
      </w:pPr>
      <w:r w:rsidRPr="00FA251A">
        <w:rPr>
          <w:rFonts w:eastAsiaTheme="minorHAnsi"/>
          <w:i/>
          <w:iCs/>
        </w:rPr>
        <w:t>Note: Ungraduated devices, e.g.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tabs>
          <w:tab w:val="left" w:pos="288"/>
        </w:tabs>
        <w:spacing w:after="0"/>
        <w:ind w:left="1080"/>
        <w:rPr>
          <w:rFonts w:eastAsia="Times New Roman"/>
          <w:u w:val="single"/>
        </w:rPr>
      </w:pPr>
      <w:r w:rsidRPr="00FA251A">
        <w:rPr>
          <w:rFonts w:eastAsia="Times New Roman"/>
          <w:b/>
          <w:strike/>
        </w:rPr>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tabs>
          <w:tab w:val="left" w:pos="288"/>
        </w:tabs>
        <w:spacing w:after="0"/>
        <w:ind w:left="1080"/>
        <w:rPr>
          <w:rFonts w:eastAsia="Times New Roman"/>
        </w:rPr>
      </w:pPr>
      <w:r w:rsidRPr="00FA251A">
        <w:rPr>
          <w:rFonts w:eastAsia="Times New Roman"/>
          <w:b/>
          <w:bCs/>
          <w:u w:val="single"/>
        </w:rPr>
        <w:lastRenderedPageBreak/>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tabs>
          <w:tab w:val="left" w:pos="288"/>
        </w:tabs>
        <w:spacing w:after="0"/>
        <w:rPr>
          <w:rFonts w:eastAsia="Times New Roman"/>
          <w:sz w:val="18"/>
          <w:szCs w:val="18"/>
        </w:rPr>
      </w:pPr>
    </w:p>
    <w:p w14:paraId="1BA15D2B" w14:textId="77777777" w:rsidR="00FA251A" w:rsidRPr="00FA251A" w:rsidRDefault="00FA251A" w:rsidP="00FA251A">
      <w:pPr>
        <w:tabs>
          <w:tab w:val="left" w:pos="288"/>
        </w:tabs>
        <w:spacing w:after="0"/>
        <w:rPr>
          <w:rFonts w:eastAsia="Times New Roman"/>
        </w:rPr>
      </w:pPr>
      <w:r w:rsidRPr="00FA251A">
        <w:rPr>
          <w:rFonts w:eastAsia="Times New Roman"/>
        </w:rPr>
        <w:t>Section S.1.2.2. is a key part of understanding application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tabs>
          <w:tab w:val="left" w:pos="288"/>
        </w:tabs>
        <w:spacing w:after="0"/>
        <w:rPr>
          <w:rFonts w:eastAsia="Times New Roman"/>
        </w:rPr>
      </w:pPr>
    </w:p>
    <w:p w14:paraId="7E45AD9B" w14:textId="5334924B" w:rsidR="00FA251A" w:rsidRPr="00FA251A" w:rsidRDefault="00FA251A" w:rsidP="00A87F4A">
      <w:pPr>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Graduated with an auxiliary indicating device – Class I and II with high resolution e &gt; d</w:t>
      </w:r>
    </w:p>
    <w:p w14:paraId="61E5298D" w14:textId="7A497080"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d</w:t>
      </w:r>
    </w:p>
    <w:p w14:paraId="2F77E442"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tabs>
          <w:tab w:val="left" w:pos="288"/>
        </w:tabs>
        <w:spacing w:after="0"/>
        <w:rPr>
          <w:rFonts w:eastAsia="Times New Roman"/>
          <w:sz w:val="22"/>
          <w:szCs w:val="22"/>
        </w:rPr>
      </w:pPr>
    </w:p>
    <w:p w14:paraId="36B67350" w14:textId="77777777" w:rsidR="00FA251A" w:rsidRPr="00FA251A" w:rsidRDefault="00FA251A" w:rsidP="00FA251A">
      <w:pPr>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tabs>
          <w:tab w:val="left" w:pos="288"/>
        </w:tabs>
        <w:spacing w:after="0"/>
        <w:rPr>
          <w:rFonts w:eastAsia="Times New Roman"/>
          <w:sz w:val="22"/>
          <w:szCs w:val="22"/>
        </w:rPr>
      </w:pPr>
    </w:p>
    <w:p w14:paraId="1987C86D" w14:textId="77777777" w:rsidR="00FA251A" w:rsidRPr="00FA251A" w:rsidRDefault="00FA251A" w:rsidP="00FA251A">
      <w:pPr>
        <w:tabs>
          <w:tab w:val="left" w:pos="288"/>
        </w:tabs>
        <w:spacing w:after="0"/>
        <w:rPr>
          <w:rFonts w:eastAsia="Times New Roman"/>
        </w:rPr>
      </w:pPr>
      <w:r w:rsidRPr="00FA251A">
        <w:rPr>
          <w:rFonts w:eastAsia="Times New Roman"/>
        </w:rPr>
        <w:t>The current S.5.3. was moved to this section as S.1.2.2.5. to keep these paragraphs dealing with the magnitude of e and d together. A new paragraph S.1.2.2.6. was added to address Class IIIL where e should always equal d. Now all classes (I, II, III, IIIL, and IIII) are covered in S.1.2.2. to clarify relative magnitude of e and d.</w:t>
      </w:r>
    </w:p>
    <w:p w14:paraId="0920C695" w14:textId="77777777" w:rsidR="00FA251A" w:rsidRPr="00FA251A" w:rsidRDefault="00FA251A" w:rsidP="00FA251A">
      <w:pPr>
        <w:tabs>
          <w:tab w:val="left" w:pos="288"/>
        </w:tabs>
        <w:spacing w:after="0"/>
        <w:rPr>
          <w:rFonts w:eastAsia="Times New Roman"/>
        </w:rPr>
      </w:pPr>
    </w:p>
    <w:p w14:paraId="496EF275" w14:textId="77777777" w:rsidR="00FA251A" w:rsidRPr="00FA251A" w:rsidRDefault="00FA251A" w:rsidP="00FA251A">
      <w:pPr>
        <w:tabs>
          <w:tab w:val="left" w:pos="288"/>
        </w:tabs>
        <w:spacing w:after="0"/>
        <w:rPr>
          <w:rFonts w:eastAsia="Times New Roman"/>
        </w:rPr>
      </w:pPr>
      <w:r w:rsidRPr="00FA251A">
        <w:rPr>
          <w:rFonts w:eastAsia="Times New Roman"/>
        </w:rPr>
        <w:t>The addition of the definition rounds out the expansion of this section</w:t>
      </w:r>
    </w:p>
    <w:p w14:paraId="4058526A" w14:textId="77777777" w:rsidR="00FA251A" w:rsidRPr="00FA251A" w:rsidRDefault="00FA251A" w:rsidP="00FA251A">
      <w:pPr>
        <w:tabs>
          <w:tab w:val="left" w:pos="288"/>
        </w:tabs>
        <w:spacing w:after="0"/>
        <w:rPr>
          <w:rFonts w:eastAsia="Times New Roman"/>
        </w:rPr>
      </w:pPr>
    </w:p>
    <w:p w14:paraId="175E732B" w14:textId="77777777" w:rsidR="00FA251A" w:rsidRPr="00FA251A" w:rsidRDefault="00FA251A" w:rsidP="00FA251A">
      <w:pPr>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v</w:t>
      </w:r>
      <w:r w:rsidRPr="00FA251A">
        <w:rPr>
          <w:rFonts w:eastAsiaTheme="minorHAnsi"/>
          <w:i/>
          <w:iCs/>
          <w:vertAlign w:val="subscript"/>
        </w:rPr>
        <w:t>min</w:t>
      </w:r>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32462A">
      <w:pPr>
        <w:numPr>
          <w:ilvl w:val="0"/>
          <w:numId w:val="19"/>
        </w:numPr>
        <w:spacing w:after="0" w:line="259" w:lineRule="auto"/>
        <w:jc w:val="left"/>
        <w:rPr>
          <w:rFonts w:eastAsiaTheme="minorHAnsi"/>
        </w:rPr>
      </w:pPr>
      <w:r w:rsidRPr="00FA251A">
        <w:rPr>
          <w:rFonts w:eastAsiaTheme="minorHAnsi"/>
          <w:i/>
          <w:iCs/>
        </w:rPr>
        <w:t>v</w:t>
      </w:r>
      <w:r w:rsidRPr="00FA251A">
        <w:rPr>
          <w:rFonts w:eastAsiaTheme="minorHAnsi"/>
          <w:i/>
          <w:iCs/>
          <w:vertAlign w:val="subscript"/>
        </w:rPr>
        <w:t>min</w:t>
      </w:r>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32462A">
      <w:pPr>
        <w:numPr>
          <w:ilvl w:val="0"/>
          <w:numId w:val="19"/>
        </w:numPr>
        <w:spacing w:after="0" w:line="259" w:lineRule="auto"/>
        <w:jc w:val="left"/>
        <w:rPr>
          <w:rFonts w:eastAsiaTheme="minorHAnsi"/>
        </w:rPr>
      </w:pPr>
      <w:r w:rsidRPr="00FA251A">
        <w:rPr>
          <w:rFonts w:eastAsiaTheme="minorHAnsi"/>
          <w:i/>
          <w:iCs/>
        </w:rPr>
        <w:t>v</w:t>
      </w:r>
      <w:r w:rsidRPr="00FA251A">
        <w:rPr>
          <w:rFonts w:eastAsiaTheme="minorHAnsi"/>
          <w:i/>
          <w:iCs/>
          <w:vertAlign w:val="subscript"/>
        </w:rPr>
        <w:t>min</w:t>
      </w:r>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been evaluated for compliance with 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NTEP;</w:t>
      </w:r>
    </w:p>
    <w:p w14:paraId="4DFF7D35"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32462A">
      <w:pPr>
        <w:widowControl w:val="0"/>
        <w:numPr>
          <w:ilvl w:val="0"/>
          <w:numId w:val="13"/>
        </w:numPr>
        <w:tabs>
          <w:tab w:val="left" w:pos="288"/>
        </w:tabs>
        <w:autoSpaceDE w:val="0"/>
        <w:autoSpaceDN w:val="0"/>
        <w:adjustRightInd w:val="0"/>
        <w:spacing w:after="0" w:line="259" w:lineRule="auto"/>
        <w:jc w:val="left"/>
        <w:rPr>
          <w:rFonts w:eastAsia="Times New Roman"/>
          <w:i/>
        </w:rPr>
      </w:pPr>
      <w:r w:rsidRPr="00FA251A">
        <w:rPr>
          <w:rFonts w:eastAsia="Times New Roman"/>
          <w:i/>
        </w:rPr>
        <w:t xml:space="preserve">the complete weighing/load-receiving element or scale is equipped with an automatic </w:t>
      </w:r>
      <w:r w:rsidRPr="00FA251A">
        <w:rPr>
          <w:rFonts w:eastAsia="Times New Roman"/>
          <w:i/>
        </w:rPr>
        <w:lastRenderedPageBreak/>
        <w:t>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r w:rsidRPr="00FA251A">
        <w:rPr>
          <w:i/>
        </w:rPr>
        <w:t>v</w:t>
      </w:r>
      <w:r w:rsidRPr="00FA251A">
        <w:rPr>
          <w:i/>
          <w:vertAlign w:val="subscript"/>
        </w:rPr>
        <w:t>min</w:t>
      </w:r>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The proper reference in this section has always been e, and this is how it has always been interpreted. The current language says “scale divisions” which technically refers to d.  This means we weren’t following the Code. The removal of “in Scale Divisions” after Tolerances in the second row was made to provide parallel construction with the header for Test Load. The parenthetical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The change for Class IIIL was made since 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tabs>
          <w:tab w:val="left" w:pos="1260"/>
        </w:tabs>
        <w:spacing w:after="0" w:line="216" w:lineRule="auto"/>
        <w:rPr>
          <w:rFonts w:eastAsia="Times New Roman"/>
        </w:rPr>
      </w:pPr>
      <w:r w:rsidRPr="00FA251A">
        <w:rPr>
          <w:rFonts w:eastAsia="Times New Roman" w:cstheme="minorBidi"/>
          <w:b/>
          <w:bCs/>
          <w:color w:val="000000" w:themeColor="text1"/>
          <w:kern w:val="24"/>
        </w:rPr>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Tolerances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lastRenderedPageBreak/>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The workgroup noted that several specific paragraphs in the T. section for unmarked scales refer to tolerances in terms of d. Those sections are shown below. With the addition of the note to T.1. General, it was decided that it was not appropriate or necessary to change the d to 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T.2.7.2. Not Equipped With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88"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“d”  (See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*For Class I and II devices equipped with auxiliary reading means (i.e., a rider, a vernier, or a least significant decimal differentiated by size, shape or color), the value of the verification scale division “e” is the value of the scale division immediately preceding the auxiliary means.  For Class III and IIII devices 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lastRenderedPageBreak/>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columns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understand that Table 8. is tied closely to Table 3. You will find that header to the first two columns in both tables, with these changes, will be identical. The workgroup also revised the * note to remove the * and use parallel text to revised note 1 of Table 3. The notes section contains two special exceptions to the general values in column 3 the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result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markings;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markings; Class, Capacity, and d. We have already proposed to change the d to 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Max and e, parallel to HB44. Absolute accuracy in terms of e and relative accuracy in terms of n. </w:t>
      </w:r>
      <w:bookmarkEnd w:id="88"/>
      <w:r w:rsidRPr="00FA251A">
        <w:rPr>
          <w:rFonts w:eastAsiaTheme="minorHAnsi"/>
        </w:rPr>
        <w:t>When the load is very small, i.e.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+1 e error at 1 e load and still meet the requirement that the zero division be +/- 0.5 division wide, would require the 1 e divisions be 0 e wide (i.e. be skipped). To visualize in analog, imagine an indicator that starts at zero and jumps immediately to the 2 graduation. A load of 1 e would indicate 2 e. Likewise a load of 2 e would indicate 3 e and this pattern would repeat until the tolerance breakpoint, a load of 500 e would indicate 501 e. Then the second graduation after the break point would be skipped, i.e. the 502 e graduation. A load of 501 e would indicate 503 e with a +2 e error. All the loads up to 20,000 e would now show a +2 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4F7C91">
      <w:pPr>
        <w:keepNext/>
        <w:keepLines/>
        <w:spacing w:after="0"/>
        <w:rPr>
          <w:rFonts w:eastAsiaTheme="minorHAnsi"/>
        </w:rPr>
      </w:pPr>
      <w:r w:rsidRPr="00FA251A">
        <w:rPr>
          <w:rFonts w:eastAsiaTheme="minorHAnsi"/>
        </w:rPr>
        <w:lastRenderedPageBreak/>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d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On an instrument where e = 10 d, we can create the same scenario as before but now with a load of 1.005 g. The instrument must now round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minimum load in d</w:t>
      </w:r>
    </w:p>
    <w:p w14:paraId="0B5AE3F1"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d</w:t>
      </w:r>
    </w:p>
    <w:p w14:paraId="38E749AD"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minimum load 5 e</w:t>
      </w:r>
    </w:p>
    <w:p w14:paraId="1C02435F"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 or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tabs>
          <w:tab w:val="left" w:pos="288"/>
        </w:tabs>
        <w:rPr>
          <w:rFonts w:eastAsia="Times New Roman"/>
          <w:strike/>
        </w:rPr>
      </w:pPr>
      <w:bookmarkStart w:id="89"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89"/>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lastRenderedPageBreak/>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tabs>
          <w:tab w:val="left" w:pos="288"/>
        </w:tabs>
        <w:spacing w:after="0"/>
        <w:rPr>
          <w:rFonts w:eastAsia="Times New Roman"/>
        </w:rPr>
      </w:pPr>
      <w:r w:rsidRPr="00FA251A">
        <w:rPr>
          <w:rFonts w:eastAsia="Times New Roman"/>
        </w:rPr>
        <w:t>The tolerance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G-S.5.2.2.(c)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G-S.5.2.2.(d)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They must be in terms of d since stability of zero setting applies to d.</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These limit the window for action of AZT. They must be in terms of d since zero setting applies to d.</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spacing w:after="160" w:line="259" w:lineRule="auto"/>
        <w:jc w:val="left"/>
        <w:rPr>
          <w:rFonts w:eastAsiaTheme="minorHAnsi"/>
          <w:b/>
          <w:bCs/>
          <w:sz w:val="22"/>
          <w:szCs w:val="22"/>
          <w:u w:val="single"/>
        </w:rPr>
      </w:pPr>
      <w:r>
        <w:rPr>
          <w:rFonts w:eastAsiaTheme="minorHAnsi"/>
          <w:b/>
          <w:bCs/>
          <w:sz w:val="22"/>
          <w:szCs w:val="22"/>
          <w:u w:val="single"/>
        </w:rPr>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first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spacing w:after="0"/>
        <w:rPr>
          <w:rFonts w:eastAsiaTheme="minorHAnsi"/>
        </w:rPr>
      </w:pPr>
    </w:p>
    <w:p w14:paraId="30570E92" w14:textId="77777777" w:rsidR="004F7C91" w:rsidRDefault="00FA251A" w:rsidP="004A5A19">
      <w:pPr>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w:t>
      </w:r>
    </w:p>
    <w:p w14:paraId="63EC40C5" w14:textId="3425FC91" w:rsidR="00FA251A" w:rsidRPr="00FA251A" w:rsidRDefault="00FA251A" w:rsidP="004A5A19">
      <w:pPr>
        <w:spacing w:after="0"/>
        <w:rPr>
          <w:rFonts w:eastAsiaTheme="minorHAnsi"/>
        </w:rPr>
      </w:pPr>
      <w:r w:rsidRPr="00FA251A">
        <w:rPr>
          <w:rFonts w:eastAsiaTheme="minorHAnsi"/>
        </w:rPr>
        <w:lastRenderedPageBreak/>
        <w:t xml:space="preserve">This cannot be assured with preset tare or when net is based on two gross values. This has further ramifications to any case where all three (gross, tare and net) values are indicated/recorded for a transaction. OIML requires the gross and net weights be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saw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spacing w:after="0"/>
        <w:rPr>
          <w:rFonts w:eastAsiaTheme="minorHAnsi"/>
        </w:rPr>
      </w:pPr>
    </w:p>
    <w:p w14:paraId="65B7AF2A" w14:textId="05A66AE6" w:rsidR="00FA251A" w:rsidRPr="00FA251A" w:rsidRDefault="00FA251A" w:rsidP="004A5A19">
      <w:pPr>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provision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similar to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spacing w:after="0"/>
        <w:rPr>
          <w:rFonts w:eastAsiaTheme="minorHAnsi"/>
        </w:rPr>
      </w:pPr>
    </w:p>
    <w:p w14:paraId="38816940" w14:textId="19714B9C" w:rsidR="006B1F25" w:rsidRDefault="00FA251A" w:rsidP="00EB778A">
      <w:pPr>
        <w:spacing w:after="0"/>
        <w:rPr>
          <w:rFonts w:eastAsiaTheme="minorHAnsi"/>
        </w:rPr>
      </w:pPr>
      <w:r w:rsidRPr="00FA251A">
        <w:rPr>
          <w:rFonts w:eastAsiaTheme="minorHAnsi"/>
          <w:b/>
          <w:bCs/>
        </w:rPr>
        <w:t>D.</w:t>
      </w:r>
      <w:r w:rsidRPr="00FA251A">
        <w:rPr>
          <w:rFonts w:eastAsiaTheme="minorHAnsi"/>
        </w:rPr>
        <w:t xml:space="preserve"> The UR.3.10. requirement that transactions from dynamic monorail scales be based on e raises issues. It was discussed since it involves both e and d. The displayed scale divisions equal to e (i.e. 10 d) are not normally rounded. If e = 10 d then the rounding point is not 5 up/4 down, as it is for d, but rather 9.5 up/0.5 down. Does this requirement mean the scale design has to produce a properly rounded value for the transaction that may be different from the display, e.g. 943.7 lb to d of 0.1 lb now must be recorded for the transaction as 944 lb? In addition, in brief discussion, it seemed there were many ways this could be interpreted. The workgroup concluded it would be beneficial to open some discussions with USDA and the manufacturers to explores some of these questions. This also addresses similar issues to the proposal to delete S.1.2.2.2. where questions of using e or d are impacting high precision scales in cannabis and jeweler’s sales.</w:t>
      </w:r>
    </w:p>
    <w:p w14:paraId="69A64749" w14:textId="3D7EDF96" w:rsidR="004C053D" w:rsidRDefault="004C053D" w:rsidP="00EB778A">
      <w:pPr>
        <w:spacing w:after="0"/>
        <w:rPr>
          <w:rFonts w:eastAsiaTheme="minorHAnsi"/>
        </w:rPr>
      </w:pPr>
      <w:r>
        <w:rPr>
          <w:rFonts w:eastAsiaTheme="minorHAnsi"/>
        </w:rPr>
        <w:br w:type="page"/>
      </w:r>
    </w:p>
    <w:p w14:paraId="47544653" w14:textId="77777777" w:rsidR="00F0704B" w:rsidRPr="00982161" w:rsidRDefault="00F0704B" w:rsidP="00EB778A">
      <w:pPr>
        <w:spacing w:after="0"/>
        <w:rPr>
          <w:rFonts w:eastAsiaTheme="minorHAnsi"/>
        </w:rPr>
      </w:pPr>
    </w:p>
    <w:sectPr w:rsidR="00F0704B" w:rsidRPr="00982161" w:rsidSect="00EF36E5">
      <w:headerReference w:type="even" r:id="rId27"/>
      <w:headerReference w:type="default" r:id="rId28"/>
      <w:footerReference w:type="even" r:id="rId29"/>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CAB8" w14:textId="77777777" w:rsidR="006A0ED6" w:rsidRDefault="006A0ED6" w:rsidP="0082263A">
      <w:r>
        <w:separator/>
      </w:r>
    </w:p>
  </w:endnote>
  <w:endnote w:type="continuationSeparator" w:id="0">
    <w:p w14:paraId="60163E87" w14:textId="77777777" w:rsidR="006A0ED6" w:rsidRDefault="006A0ED6" w:rsidP="0082263A">
      <w:r>
        <w:continuationSeparator/>
      </w:r>
    </w:p>
  </w:endnote>
  <w:endnote w:type="continuationNotice" w:id="1">
    <w:p w14:paraId="029D9148" w14:textId="77777777" w:rsidR="006A0ED6" w:rsidRDefault="006A0E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80E3" w14:textId="78464862" w:rsidR="009059C5"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BC" w14:textId="726FA7BA" w:rsidR="00F817A7"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6ED937C"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20FB7389" w:rsidR="002B629B" w:rsidRDefault="002B629B" w:rsidP="00427F0D">
    <w:pPr>
      <w:tabs>
        <w:tab w:val="center" w:pos="4680"/>
        <w:tab w:val="right" w:pos="9360"/>
      </w:tabs>
      <w:jc w:val="center"/>
    </w:pPr>
    <w:r>
      <w:t>S&amp;T</w:t>
    </w:r>
    <w:r w:rsidRPr="000126FA">
      <w:t xml:space="preserve"> - </w:t>
    </w:r>
    <w:r w:rsidR="00787A6A">
      <w:t>A</w:t>
    </w:r>
    <w:bookmarkStart w:id="90" w:name="AppendixA"/>
    <w:r w:rsidRPr="000126FA">
      <w:fldChar w:fldCharType="begin"/>
    </w:r>
    <w:r w:rsidRPr="000126FA">
      <w:instrText xml:space="preserve"> PAGE   \* MERGEFORMAT </w:instrText>
    </w:r>
    <w:r w:rsidRPr="000126FA">
      <w:fldChar w:fldCharType="separate"/>
    </w:r>
    <w:r>
      <w:t>5</w:t>
    </w:r>
    <w:r w:rsidRPr="000126FA">
      <w:rPr>
        <w:noProof/>
      </w:rPr>
      <w:fldChar w:fldCharType="end"/>
    </w:r>
    <w:bookmarkEnd w:id="9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BB40" w14:textId="77777777" w:rsidR="006A0ED6" w:rsidRDefault="006A0ED6" w:rsidP="0082263A">
      <w:r>
        <w:separator/>
      </w:r>
    </w:p>
  </w:footnote>
  <w:footnote w:type="continuationSeparator" w:id="0">
    <w:p w14:paraId="481AA8CC" w14:textId="77777777" w:rsidR="006A0ED6" w:rsidRDefault="006A0ED6" w:rsidP="0082263A">
      <w:r>
        <w:continuationSeparator/>
      </w:r>
    </w:p>
  </w:footnote>
  <w:footnote w:type="continuationNotice" w:id="1">
    <w:p w14:paraId="0D989C62" w14:textId="77777777" w:rsidR="006A0ED6" w:rsidRDefault="006A0E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5A2" w14:textId="527A857C" w:rsidR="002B629B" w:rsidRDefault="00983F38" w:rsidP="00175710">
    <w:pPr>
      <w:pStyle w:val="Header"/>
      <w:tabs>
        <w:tab w:val="clear" w:pos="4680"/>
      </w:tabs>
      <w:spacing w:after="0"/>
      <w:jc w:val="left"/>
    </w:pPr>
    <w:r>
      <w:t xml:space="preserve">NEWMA </w:t>
    </w:r>
    <w:r w:rsidR="002B629B" w:rsidRPr="00540700">
      <w:t xml:space="preserve">S&amp;T </w:t>
    </w:r>
    <w:r w:rsidR="002B629B">
      <w:t>202</w:t>
    </w:r>
    <w:r>
      <w:t>3</w:t>
    </w:r>
    <w:r w:rsidR="002B629B" w:rsidRPr="00540700">
      <w:t xml:space="preserve"> Interim Meeting</w:t>
    </w:r>
    <w:r w:rsidR="00D93E77">
      <w:t xml:space="preserve"> </w:t>
    </w:r>
    <w:r w:rsidR="003F385E">
      <w:t>Report Tem</w:t>
    </w:r>
    <w:r w:rsidR="00826708">
      <w:t>plate</w:t>
    </w:r>
  </w:p>
  <w:p w14:paraId="6B5DE9FC" w14:textId="77777777" w:rsidR="00F817A7" w:rsidRDefault="00F817A7" w:rsidP="00175710">
    <w:pPr>
      <w:jc w:val="left"/>
    </w:pPr>
  </w:p>
  <w:p w14:paraId="5D03B4EF" w14:textId="77777777" w:rsidR="009059C5" w:rsidRDefault="0090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12" w14:textId="448C3362" w:rsidR="002B629B" w:rsidRPr="00540700" w:rsidRDefault="00983F38" w:rsidP="00175710">
    <w:pPr>
      <w:pStyle w:val="Header"/>
      <w:tabs>
        <w:tab w:val="clear" w:pos="4680"/>
      </w:tabs>
      <w:spacing w:after="0"/>
      <w:jc w:val="right"/>
    </w:pPr>
    <w:r>
      <w:t xml:space="preserve">NEWMA </w:t>
    </w:r>
    <w:r w:rsidR="002B629B" w:rsidRPr="00540700">
      <w:t xml:space="preserve">S&amp;T </w:t>
    </w:r>
    <w:r w:rsidR="002B629B">
      <w:t>202</w:t>
    </w:r>
    <w:r>
      <w:t>3</w:t>
    </w:r>
    <w:r w:rsidR="002B629B" w:rsidRPr="00540700">
      <w:t xml:space="preserve"> Interim Meeting </w:t>
    </w:r>
    <w:r w:rsidR="00A24A4D">
      <w:t>Report Template</w:t>
    </w:r>
  </w:p>
  <w:p w14:paraId="48352B68" w14:textId="77777777" w:rsidR="00F817A7" w:rsidRDefault="00F817A7"/>
  <w:p w14:paraId="21E88D94" w14:textId="77777777" w:rsidR="009059C5" w:rsidRDefault="00905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741E6344" w:rsidR="002B629B" w:rsidRDefault="00EB5660" w:rsidP="006D768F">
    <w:pPr>
      <w:pStyle w:val="Header"/>
      <w:tabs>
        <w:tab w:val="clear" w:pos="4680"/>
      </w:tabs>
      <w:spacing w:after="0"/>
      <w:jc w:val="left"/>
    </w:pPr>
    <w:r>
      <w:t xml:space="preserve">NEWMA </w:t>
    </w:r>
    <w:r w:rsidR="002B629B" w:rsidRPr="00540700">
      <w:t xml:space="preserve">S&amp;T </w:t>
    </w:r>
    <w:r w:rsidR="002B629B">
      <w:t>202</w:t>
    </w:r>
    <w:r>
      <w:t>3</w:t>
    </w:r>
    <w:r w:rsidR="002B629B" w:rsidRPr="00540700">
      <w:t xml:space="preserve"> Interim Meeting</w:t>
    </w:r>
    <w:r w:rsidR="00DE285A">
      <w:t xml:space="preserve"> Report Template </w:t>
    </w:r>
  </w:p>
  <w:p w14:paraId="4D4D9CF4" w14:textId="22DC8322" w:rsidR="002B629B" w:rsidRPr="006D768F" w:rsidRDefault="002B629B" w:rsidP="006D768F">
    <w:pPr>
      <w:pStyle w:val="Header"/>
      <w:tabs>
        <w:tab w:val="clear" w:pos="4680"/>
      </w:tabs>
      <w:spacing w:after="0"/>
      <w:jc w:val="left"/>
    </w:pPr>
    <w:r>
      <w:t xml:space="preserve">Appendix </w:t>
    </w:r>
    <w:r w:rsidR="008123AF">
      <w:t>A</w:t>
    </w:r>
    <w:r>
      <w:t xml:space="preserve"> – Item </w:t>
    </w:r>
    <w:r w:rsidR="00741AF9">
      <w:t>SCL-23.3</w:t>
    </w:r>
    <w:r>
      <w:t>: Final Report of the Verification Scale Division Task Group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4FB" w14:textId="1124D504" w:rsidR="002B629B" w:rsidRDefault="00EB5660" w:rsidP="007024C6">
    <w:pPr>
      <w:pStyle w:val="Header"/>
      <w:tabs>
        <w:tab w:val="clear" w:pos="4680"/>
      </w:tabs>
      <w:spacing w:after="0"/>
      <w:jc w:val="right"/>
    </w:pPr>
    <w:r>
      <w:t xml:space="preserve">NEWMA </w:t>
    </w:r>
    <w:r w:rsidR="002B629B" w:rsidRPr="00540700">
      <w:t xml:space="preserve">S&amp;T </w:t>
    </w:r>
    <w:r w:rsidR="002B629B">
      <w:t>202</w:t>
    </w:r>
    <w:r>
      <w:t>3</w:t>
    </w:r>
    <w:r w:rsidR="002B629B" w:rsidRPr="00540700">
      <w:t xml:space="preserve"> Interim Meeting </w:t>
    </w:r>
    <w:r w:rsidR="00E75CCC">
      <w:t>Report</w:t>
    </w:r>
    <w:r w:rsidR="00DE285A">
      <w:t xml:space="preserve"> Template </w:t>
    </w:r>
  </w:p>
  <w:p w14:paraId="3D59432D" w14:textId="6A0D70ED" w:rsidR="002B629B" w:rsidRDefault="002B629B" w:rsidP="006149BC">
    <w:pPr>
      <w:pStyle w:val="Header"/>
      <w:tabs>
        <w:tab w:val="clear" w:pos="4680"/>
      </w:tabs>
      <w:spacing w:after="0"/>
      <w:jc w:val="right"/>
    </w:pPr>
    <w:r>
      <w:t xml:space="preserve">Appendix </w:t>
    </w:r>
    <w:r w:rsidR="008123AF">
      <w:t>A</w:t>
    </w:r>
    <w:r>
      <w:t xml:space="preserve"> – </w:t>
    </w:r>
    <w:r w:rsidR="00741AF9">
      <w:t>SCL-23.3</w:t>
    </w:r>
    <w:r>
      <w:t>: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35"/>
    <w:multiLevelType w:val="hybridMultilevel"/>
    <w:tmpl w:val="1EC4AF38"/>
    <w:lvl w:ilvl="0" w:tplc="89526FA2">
      <w:start w:val="1"/>
      <w:numFmt w:val="decimal"/>
      <w:lvlText w:val="%1."/>
      <w:lvlJc w:val="left"/>
      <w:pPr>
        <w:ind w:left="720" w:hanging="360"/>
      </w:pPr>
      <w:rPr>
        <w:rFonts w:ascii="Times New Roman Bold" w:hAnsi="Times New Roman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2F20B68"/>
    <w:multiLevelType w:val="hybridMultilevel"/>
    <w:tmpl w:val="E51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559"/>
    <w:multiLevelType w:val="hybridMultilevel"/>
    <w:tmpl w:val="334EA7F6"/>
    <w:lvl w:ilvl="0" w:tplc="B13CB9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B4E31"/>
    <w:multiLevelType w:val="hybridMultilevel"/>
    <w:tmpl w:val="8F68F52A"/>
    <w:lvl w:ilvl="0" w:tplc="E45407AC">
      <w:start w:val="18"/>
      <w:numFmt w:val="bullet"/>
      <w:lvlText w:val="-"/>
      <w:lvlJc w:val="left"/>
      <w:pPr>
        <w:ind w:left="612" w:hanging="360"/>
      </w:pPr>
      <w:rPr>
        <w:rFonts w:ascii="Times New Roman" w:eastAsia="Calibr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E026712"/>
    <w:multiLevelType w:val="hybridMultilevel"/>
    <w:tmpl w:val="980EC270"/>
    <w:lvl w:ilvl="0" w:tplc="E7FA04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60DB"/>
    <w:multiLevelType w:val="hybridMultilevel"/>
    <w:tmpl w:val="FC88AA1C"/>
    <w:lvl w:ilvl="0" w:tplc="6C0C9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9EBA4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A5846320">
      <w:numFmt w:val="bullet"/>
      <w:lvlText w:val="•"/>
      <w:lvlJc w:val="left"/>
      <w:pPr>
        <w:ind w:left="2431" w:hanging="360"/>
      </w:pPr>
      <w:rPr>
        <w:rFonts w:hint="default"/>
        <w:lang w:val="en-US" w:eastAsia="en-US" w:bidi="ar-SA"/>
      </w:rPr>
    </w:lvl>
    <w:lvl w:ilvl="3" w:tplc="2C62F212">
      <w:numFmt w:val="bullet"/>
      <w:lvlText w:val="•"/>
      <w:lvlJc w:val="left"/>
      <w:pPr>
        <w:ind w:left="3322" w:hanging="360"/>
      </w:pPr>
      <w:rPr>
        <w:rFonts w:hint="default"/>
        <w:lang w:val="en-US" w:eastAsia="en-US" w:bidi="ar-SA"/>
      </w:rPr>
    </w:lvl>
    <w:lvl w:ilvl="4" w:tplc="1C902592">
      <w:numFmt w:val="bullet"/>
      <w:lvlText w:val="•"/>
      <w:lvlJc w:val="left"/>
      <w:pPr>
        <w:ind w:left="4213" w:hanging="360"/>
      </w:pPr>
      <w:rPr>
        <w:rFonts w:hint="default"/>
        <w:lang w:val="en-US" w:eastAsia="en-US" w:bidi="ar-SA"/>
      </w:rPr>
    </w:lvl>
    <w:lvl w:ilvl="5" w:tplc="CFD6D278">
      <w:numFmt w:val="bullet"/>
      <w:lvlText w:val="•"/>
      <w:lvlJc w:val="left"/>
      <w:pPr>
        <w:ind w:left="5104" w:hanging="360"/>
      </w:pPr>
      <w:rPr>
        <w:rFonts w:hint="default"/>
        <w:lang w:val="en-US" w:eastAsia="en-US" w:bidi="ar-SA"/>
      </w:rPr>
    </w:lvl>
    <w:lvl w:ilvl="6" w:tplc="CCD465B0">
      <w:numFmt w:val="bullet"/>
      <w:lvlText w:val="•"/>
      <w:lvlJc w:val="left"/>
      <w:pPr>
        <w:ind w:left="5995" w:hanging="360"/>
      </w:pPr>
      <w:rPr>
        <w:rFonts w:hint="default"/>
        <w:lang w:val="en-US" w:eastAsia="en-US" w:bidi="ar-SA"/>
      </w:rPr>
    </w:lvl>
    <w:lvl w:ilvl="7" w:tplc="94702582">
      <w:numFmt w:val="bullet"/>
      <w:lvlText w:val="•"/>
      <w:lvlJc w:val="left"/>
      <w:pPr>
        <w:ind w:left="6886" w:hanging="360"/>
      </w:pPr>
      <w:rPr>
        <w:rFonts w:hint="default"/>
        <w:lang w:val="en-US" w:eastAsia="en-US" w:bidi="ar-SA"/>
      </w:rPr>
    </w:lvl>
    <w:lvl w:ilvl="8" w:tplc="3BC2F9DA">
      <w:numFmt w:val="bullet"/>
      <w:lvlText w:val="•"/>
      <w:lvlJc w:val="left"/>
      <w:pPr>
        <w:ind w:left="7777" w:hanging="360"/>
      </w:pPr>
      <w:rPr>
        <w:rFonts w:hint="default"/>
        <w:lang w:val="en-US" w:eastAsia="en-US" w:bidi="ar-SA"/>
      </w:rPr>
    </w:lvl>
  </w:abstractNum>
  <w:abstractNum w:abstractNumId="7" w15:restartNumberingAfterBreak="0">
    <w:nsid w:val="1E874F8E"/>
    <w:multiLevelType w:val="hybridMultilevel"/>
    <w:tmpl w:val="A43C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0B16756"/>
    <w:multiLevelType w:val="multilevel"/>
    <w:tmpl w:val="A3CA203A"/>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BC63A5"/>
    <w:multiLevelType w:val="hybridMultilevel"/>
    <w:tmpl w:val="7C22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B4A"/>
    <w:multiLevelType w:val="hybridMultilevel"/>
    <w:tmpl w:val="AA7CD24C"/>
    <w:lvl w:ilvl="0" w:tplc="47029834">
      <w:start w:val="1"/>
      <w:numFmt w:val="lowerLetter"/>
      <w:lvlText w:val="(%1)"/>
      <w:lvlJc w:val="left"/>
      <w:pPr>
        <w:ind w:left="810" w:hanging="360"/>
      </w:pPr>
      <w:rPr>
        <w:rFonts w:ascii="Times New Roman" w:hAnsi="Times New Roman" w:cs="Times New Roman" w:hint="default"/>
        <w:color w:val="auto"/>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767298"/>
    <w:multiLevelType w:val="hybridMultilevel"/>
    <w:tmpl w:val="B6B2839E"/>
    <w:lvl w:ilvl="0" w:tplc="AA284110">
      <w:start w:val="1"/>
      <w:numFmt w:val="lowerLetter"/>
      <w:lvlText w:val="(%1)"/>
      <w:lvlJc w:val="left"/>
      <w:pPr>
        <w:ind w:left="1080" w:hanging="54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F31194E"/>
    <w:multiLevelType w:val="hybridMultilevel"/>
    <w:tmpl w:val="062E899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9" w15:restartNumberingAfterBreak="0">
    <w:nsid w:val="33EF217E"/>
    <w:multiLevelType w:val="hybridMultilevel"/>
    <w:tmpl w:val="F4BE9D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536530"/>
    <w:multiLevelType w:val="hybridMultilevel"/>
    <w:tmpl w:val="79B81B32"/>
    <w:lvl w:ilvl="0" w:tplc="B916FDD2">
      <w:start w:val="1"/>
      <w:numFmt w:val="lowerLetter"/>
      <w:lvlText w:val="(%1)"/>
      <w:lvlJc w:val="left"/>
      <w:pPr>
        <w:ind w:left="108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C62149"/>
    <w:multiLevelType w:val="hybridMultilevel"/>
    <w:tmpl w:val="0CC42BF4"/>
    <w:lvl w:ilvl="0" w:tplc="4CDA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42B0F"/>
    <w:multiLevelType w:val="hybridMultilevel"/>
    <w:tmpl w:val="5AFCF8EA"/>
    <w:lvl w:ilvl="0" w:tplc="378A2DA4">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57E01"/>
    <w:multiLevelType w:val="hybridMultilevel"/>
    <w:tmpl w:val="9C46B428"/>
    <w:lvl w:ilvl="0" w:tplc="D6B68F6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34"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5"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36"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37"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C594F"/>
    <w:multiLevelType w:val="hybridMultilevel"/>
    <w:tmpl w:val="CC928E10"/>
    <w:lvl w:ilvl="0" w:tplc="7D443254">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D60912E">
      <w:numFmt w:val="bullet"/>
      <w:lvlText w:val="•"/>
      <w:lvlJc w:val="left"/>
      <w:pPr>
        <w:ind w:left="2018" w:hanging="360"/>
      </w:pPr>
      <w:rPr>
        <w:rFonts w:hint="default"/>
        <w:lang w:val="en-US" w:eastAsia="en-US" w:bidi="ar-SA"/>
      </w:rPr>
    </w:lvl>
    <w:lvl w:ilvl="2" w:tplc="27122084">
      <w:numFmt w:val="bullet"/>
      <w:lvlText w:val="•"/>
      <w:lvlJc w:val="left"/>
      <w:pPr>
        <w:ind w:left="2856" w:hanging="360"/>
      </w:pPr>
      <w:rPr>
        <w:rFonts w:hint="default"/>
        <w:lang w:val="en-US" w:eastAsia="en-US" w:bidi="ar-SA"/>
      </w:rPr>
    </w:lvl>
    <w:lvl w:ilvl="3" w:tplc="E21E39BE">
      <w:numFmt w:val="bullet"/>
      <w:lvlText w:val="•"/>
      <w:lvlJc w:val="left"/>
      <w:pPr>
        <w:ind w:left="3694" w:hanging="360"/>
      </w:pPr>
      <w:rPr>
        <w:rFonts w:hint="default"/>
        <w:lang w:val="en-US" w:eastAsia="en-US" w:bidi="ar-SA"/>
      </w:rPr>
    </w:lvl>
    <w:lvl w:ilvl="4" w:tplc="9B000034">
      <w:numFmt w:val="bullet"/>
      <w:lvlText w:val="•"/>
      <w:lvlJc w:val="left"/>
      <w:pPr>
        <w:ind w:left="4532" w:hanging="360"/>
      </w:pPr>
      <w:rPr>
        <w:rFonts w:hint="default"/>
        <w:lang w:val="en-US" w:eastAsia="en-US" w:bidi="ar-SA"/>
      </w:rPr>
    </w:lvl>
    <w:lvl w:ilvl="5" w:tplc="23B42F46">
      <w:numFmt w:val="bullet"/>
      <w:lvlText w:val="•"/>
      <w:lvlJc w:val="left"/>
      <w:pPr>
        <w:ind w:left="5370" w:hanging="360"/>
      </w:pPr>
      <w:rPr>
        <w:rFonts w:hint="default"/>
        <w:lang w:val="en-US" w:eastAsia="en-US" w:bidi="ar-SA"/>
      </w:rPr>
    </w:lvl>
    <w:lvl w:ilvl="6" w:tplc="1D188F62">
      <w:numFmt w:val="bullet"/>
      <w:lvlText w:val="•"/>
      <w:lvlJc w:val="left"/>
      <w:pPr>
        <w:ind w:left="6208" w:hanging="360"/>
      </w:pPr>
      <w:rPr>
        <w:rFonts w:hint="default"/>
        <w:lang w:val="en-US" w:eastAsia="en-US" w:bidi="ar-SA"/>
      </w:rPr>
    </w:lvl>
    <w:lvl w:ilvl="7" w:tplc="2E526AC6">
      <w:numFmt w:val="bullet"/>
      <w:lvlText w:val="•"/>
      <w:lvlJc w:val="left"/>
      <w:pPr>
        <w:ind w:left="7046" w:hanging="360"/>
      </w:pPr>
      <w:rPr>
        <w:rFonts w:hint="default"/>
        <w:lang w:val="en-US" w:eastAsia="en-US" w:bidi="ar-SA"/>
      </w:rPr>
    </w:lvl>
    <w:lvl w:ilvl="8" w:tplc="B26A3C60">
      <w:numFmt w:val="bullet"/>
      <w:lvlText w:val="•"/>
      <w:lvlJc w:val="left"/>
      <w:pPr>
        <w:ind w:left="7884" w:hanging="360"/>
      </w:pPr>
      <w:rPr>
        <w:rFonts w:hint="default"/>
        <w:lang w:val="en-US" w:eastAsia="en-US" w:bidi="ar-SA"/>
      </w:rPr>
    </w:lvl>
  </w:abstractNum>
  <w:abstractNum w:abstractNumId="41" w15:restartNumberingAfterBreak="0">
    <w:nsid w:val="5D2054F9"/>
    <w:multiLevelType w:val="hybridMultilevel"/>
    <w:tmpl w:val="E8D612D6"/>
    <w:lvl w:ilvl="0" w:tplc="E70EC9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3" w15:restartNumberingAfterBreak="0">
    <w:nsid w:val="5E7B4C52"/>
    <w:multiLevelType w:val="hybridMultilevel"/>
    <w:tmpl w:val="6404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FDF4631"/>
    <w:multiLevelType w:val="hybridMultilevel"/>
    <w:tmpl w:val="27566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A5506"/>
    <w:multiLevelType w:val="hybridMultilevel"/>
    <w:tmpl w:val="FA9AAA5A"/>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663B25FD"/>
    <w:multiLevelType w:val="hybridMultilevel"/>
    <w:tmpl w:val="347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9D7AA5"/>
    <w:multiLevelType w:val="hybridMultilevel"/>
    <w:tmpl w:val="6C8A57F6"/>
    <w:lvl w:ilvl="0" w:tplc="D5DCD810">
      <w:start w:val="1"/>
      <w:numFmt w:val="lowerLetter"/>
      <w:lvlText w:val="(%1)"/>
      <w:lvlJc w:val="left"/>
      <w:pPr>
        <w:ind w:left="72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6F903017"/>
    <w:multiLevelType w:val="hybridMultilevel"/>
    <w:tmpl w:val="493AA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5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54" w15:restartNumberingAfterBreak="0">
    <w:nsid w:val="76EF7C87"/>
    <w:multiLevelType w:val="hybridMultilevel"/>
    <w:tmpl w:val="9028D76C"/>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3065EE"/>
    <w:multiLevelType w:val="multilevel"/>
    <w:tmpl w:val="4EEC28DE"/>
    <w:lvl w:ilvl="0">
      <w:start w:val="2"/>
      <w:numFmt w:val="decimal"/>
      <w:lvlText w:val="%1"/>
      <w:lvlJc w:val="left"/>
      <w:pPr>
        <w:tabs>
          <w:tab w:val="num" w:pos="1440"/>
        </w:tabs>
        <w:ind w:left="1440" w:hanging="1440"/>
      </w:pPr>
      <w:rPr>
        <w:rFonts w:hint="default"/>
        <w:b/>
      </w:rPr>
    </w:lvl>
    <w:lvl w:ilvl="1">
      <w:start w:val="57"/>
      <w:numFmt w:val="decimal"/>
      <w:pStyle w:val="Definition"/>
      <w:lvlText w:val="%1.%2"/>
      <w:lvlJc w:val="left"/>
      <w:pPr>
        <w:tabs>
          <w:tab w:val="num" w:pos="1530"/>
        </w:tabs>
        <w:ind w:left="1530" w:hanging="1440"/>
      </w:pPr>
      <w:rPr>
        <w:rFonts w:hint="default"/>
        <w:b w:val="0"/>
        <w:bCs/>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8" w15:restartNumberingAfterBreak="0">
    <w:nsid w:val="7B927153"/>
    <w:multiLevelType w:val="hybridMultilevel"/>
    <w:tmpl w:val="A948A6E4"/>
    <w:lvl w:ilvl="0" w:tplc="09869876">
      <w:start w:val="1"/>
      <w:numFmt w:val="lowerLetter"/>
      <w:lvlText w:val="(%1)"/>
      <w:lvlJc w:val="left"/>
      <w:pPr>
        <w:ind w:left="144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7C0B02AA"/>
    <w:multiLevelType w:val="hybridMultilevel"/>
    <w:tmpl w:val="8A7A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53"/>
  </w:num>
  <w:num w:numId="2" w16cid:durableId="237714313">
    <w:abstractNumId w:val="16"/>
  </w:num>
  <w:num w:numId="3" w16cid:durableId="999313107">
    <w:abstractNumId w:val="13"/>
  </w:num>
  <w:num w:numId="4" w16cid:durableId="391320315">
    <w:abstractNumId w:val="42"/>
  </w:num>
  <w:num w:numId="5" w16cid:durableId="314801738">
    <w:abstractNumId w:val="24"/>
  </w:num>
  <w:num w:numId="6" w16cid:durableId="1710496063">
    <w:abstractNumId w:val="26"/>
  </w:num>
  <w:num w:numId="7" w16cid:durableId="67314335">
    <w:abstractNumId w:val="34"/>
  </w:num>
  <w:num w:numId="8" w16cid:durableId="1428842688">
    <w:abstractNumId w:val="37"/>
  </w:num>
  <w:num w:numId="9" w16cid:durableId="764229006">
    <w:abstractNumId w:val="22"/>
  </w:num>
  <w:num w:numId="10" w16cid:durableId="999893160">
    <w:abstractNumId w:val="39"/>
  </w:num>
  <w:num w:numId="11" w16cid:durableId="144010485">
    <w:abstractNumId w:val="8"/>
  </w:num>
  <w:num w:numId="12" w16cid:durableId="517502332">
    <w:abstractNumId w:val="1"/>
  </w:num>
  <w:num w:numId="13" w16cid:durableId="1896962543">
    <w:abstractNumId w:val="29"/>
  </w:num>
  <w:num w:numId="14" w16cid:durableId="178812221">
    <w:abstractNumId w:val="38"/>
  </w:num>
  <w:num w:numId="15" w16cid:durableId="1364282223">
    <w:abstractNumId w:val="5"/>
  </w:num>
  <w:num w:numId="16" w16cid:durableId="2053721784">
    <w:abstractNumId w:val="2"/>
  </w:num>
  <w:num w:numId="17" w16cid:durableId="1553616117">
    <w:abstractNumId w:val="27"/>
  </w:num>
  <w:num w:numId="18" w16cid:durableId="989944250">
    <w:abstractNumId w:val="45"/>
  </w:num>
  <w:num w:numId="19" w16cid:durableId="1570848583">
    <w:abstractNumId w:val="33"/>
  </w:num>
  <w:num w:numId="20" w16cid:durableId="304310886">
    <w:abstractNumId w:val="35"/>
  </w:num>
  <w:num w:numId="21" w16cid:durableId="1228422076">
    <w:abstractNumId w:val="55"/>
  </w:num>
  <w:num w:numId="22" w16cid:durableId="206842840">
    <w:abstractNumId w:val="30"/>
  </w:num>
  <w:num w:numId="23" w16cid:durableId="1078333649">
    <w:abstractNumId w:val="14"/>
  </w:num>
  <w:num w:numId="24" w16cid:durableId="1390225863">
    <w:abstractNumId w:val="25"/>
  </w:num>
  <w:num w:numId="25" w16cid:durableId="529300402">
    <w:abstractNumId w:val="23"/>
  </w:num>
  <w:num w:numId="26" w16cid:durableId="979264055">
    <w:abstractNumId w:val="15"/>
  </w:num>
  <w:num w:numId="27" w16cid:durableId="318728937">
    <w:abstractNumId w:val="60"/>
  </w:num>
  <w:num w:numId="28" w16cid:durableId="243028614">
    <w:abstractNumId w:val="9"/>
  </w:num>
  <w:num w:numId="29" w16cid:durableId="306207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200534">
    <w:abstractNumId w:val="52"/>
  </w:num>
  <w:num w:numId="31" w16cid:durableId="683168496">
    <w:abstractNumId w:val="36"/>
  </w:num>
  <w:num w:numId="32" w16cid:durableId="1531454100">
    <w:abstractNumId w:val="40"/>
  </w:num>
  <w:num w:numId="33" w16cid:durableId="1919091059">
    <w:abstractNumId w:val="6"/>
  </w:num>
  <w:num w:numId="34" w16cid:durableId="1725518916">
    <w:abstractNumId w:val="17"/>
  </w:num>
  <w:num w:numId="35" w16cid:durableId="2099328746">
    <w:abstractNumId w:val="56"/>
  </w:num>
  <w:num w:numId="36" w16cid:durableId="1791969936">
    <w:abstractNumId w:val="12"/>
  </w:num>
  <w:num w:numId="37" w16cid:durableId="43408687">
    <w:abstractNumId w:val="31"/>
  </w:num>
  <w:num w:numId="38" w16cid:durableId="19820226">
    <w:abstractNumId w:val="7"/>
  </w:num>
  <w:num w:numId="39" w16cid:durableId="735590131">
    <w:abstractNumId w:val="18"/>
  </w:num>
  <w:num w:numId="40" w16cid:durableId="139151453">
    <w:abstractNumId w:val="57"/>
  </w:num>
  <w:num w:numId="41" w16cid:durableId="804272513">
    <w:abstractNumId w:val="0"/>
  </w:num>
  <w:num w:numId="42" w16cid:durableId="453717251">
    <w:abstractNumId w:val="19"/>
  </w:num>
  <w:num w:numId="43" w16cid:durableId="2089644260">
    <w:abstractNumId w:val="20"/>
  </w:num>
  <w:num w:numId="44" w16cid:durableId="474105677">
    <w:abstractNumId w:val="58"/>
  </w:num>
  <w:num w:numId="45" w16cid:durableId="1363942477">
    <w:abstractNumId w:val="21"/>
  </w:num>
  <w:num w:numId="46" w16cid:durableId="77208910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1199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5230609">
    <w:abstractNumId w:val="10"/>
  </w:num>
  <w:num w:numId="49" w16cid:durableId="2116753004">
    <w:abstractNumId w:val="48"/>
  </w:num>
  <w:num w:numId="50" w16cid:durableId="1673725388">
    <w:abstractNumId w:val="54"/>
  </w:num>
  <w:num w:numId="51" w16cid:durableId="391375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00776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999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42302618">
    <w:abstractNumId w:val="4"/>
  </w:num>
  <w:num w:numId="55" w16cid:durableId="671378703">
    <w:abstractNumId w:val="28"/>
  </w:num>
  <w:num w:numId="56" w16cid:durableId="15722778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9911323">
    <w:abstractNumId w:val="51"/>
  </w:num>
  <w:num w:numId="58" w16cid:durableId="333805860">
    <w:abstractNumId w:val="43"/>
  </w:num>
  <w:num w:numId="59" w16cid:durableId="18691806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10941641">
    <w:abstractNumId w:val="32"/>
  </w:num>
  <w:num w:numId="61" w16cid:durableId="421343807">
    <w:abstractNumId w:val="11"/>
  </w:num>
  <w:num w:numId="62" w16cid:durableId="1670282726">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iyMagEWs28ILQAAAA=="/>
  </w:docVars>
  <w:rsids>
    <w:rsidRoot w:val="00AB1518"/>
    <w:rsid w:val="0000050A"/>
    <w:rsid w:val="000006B8"/>
    <w:rsid w:val="000009EC"/>
    <w:rsid w:val="00000B0F"/>
    <w:rsid w:val="00000B2A"/>
    <w:rsid w:val="00000DBE"/>
    <w:rsid w:val="0000162E"/>
    <w:rsid w:val="0000191B"/>
    <w:rsid w:val="00001B3A"/>
    <w:rsid w:val="00001E8B"/>
    <w:rsid w:val="0000233E"/>
    <w:rsid w:val="0000258A"/>
    <w:rsid w:val="000026D3"/>
    <w:rsid w:val="0000292D"/>
    <w:rsid w:val="00002CEC"/>
    <w:rsid w:val="00002E3A"/>
    <w:rsid w:val="00003118"/>
    <w:rsid w:val="00003931"/>
    <w:rsid w:val="000039A9"/>
    <w:rsid w:val="000039B0"/>
    <w:rsid w:val="000039C2"/>
    <w:rsid w:val="00003C05"/>
    <w:rsid w:val="00003D47"/>
    <w:rsid w:val="00003DBE"/>
    <w:rsid w:val="00003DF1"/>
    <w:rsid w:val="000049A0"/>
    <w:rsid w:val="00004A8F"/>
    <w:rsid w:val="00004B5F"/>
    <w:rsid w:val="0000547A"/>
    <w:rsid w:val="0000571E"/>
    <w:rsid w:val="00005743"/>
    <w:rsid w:val="00005885"/>
    <w:rsid w:val="000058C4"/>
    <w:rsid w:val="00005D11"/>
    <w:rsid w:val="00005D25"/>
    <w:rsid w:val="000060C3"/>
    <w:rsid w:val="00010122"/>
    <w:rsid w:val="00010C84"/>
    <w:rsid w:val="00010DF3"/>
    <w:rsid w:val="00010F79"/>
    <w:rsid w:val="0001165D"/>
    <w:rsid w:val="000118CB"/>
    <w:rsid w:val="00011A81"/>
    <w:rsid w:val="00011ECB"/>
    <w:rsid w:val="00012045"/>
    <w:rsid w:val="0001204D"/>
    <w:rsid w:val="00012489"/>
    <w:rsid w:val="000126DE"/>
    <w:rsid w:val="00012745"/>
    <w:rsid w:val="00012B6C"/>
    <w:rsid w:val="00012C97"/>
    <w:rsid w:val="00012D2D"/>
    <w:rsid w:val="00013054"/>
    <w:rsid w:val="0001316E"/>
    <w:rsid w:val="000134FC"/>
    <w:rsid w:val="000137C8"/>
    <w:rsid w:val="00013B94"/>
    <w:rsid w:val="00013D67"/>
    <w:rsid w:val="000145A2"/>
    <w:rsid w:val="000148D4"/>
    <w:rsid w:val="000148DF"/>
    <w:rsid w:val="00014D45"/>
    <w:rsid w:val="0001505F"/>
    <w:rsid w:val="000150F2"/>
    <w:rsid w:val="0001529A"/>
    <w:rsid w:val="000155A6"/>
    <w:rsid w:val="00015A2E"/>
    <w:rsid w:val="00015CC4"/>
    <w:rsid w:val="00015D3B"/>
    <w:rsid w:val="000160E4"/>
    <w:rsid w:val="0001632A"/>
    <w:rsid w:val="0001634C"/>
    <w:rsid w:val="000166EC"/>
    <w:rsid w:val="00016A5E"/>
    <w:rsid w:val="00016BD1"/>
    <w:rsid w:val="00016CE0"/>
    <w:rsid w:val="00016D1C"/>
    <w:rsid w:val="000172FE"/>
    <w:rsid w:val="000176E9"/>
    <w:rsid w:val="00017703"/>
    <w:rsid w:val="00017861"/>
    <w:rsid w:val="00017ADB"/>
    <w:rsid w:val="00017E05"/>
    <w:rsid w:val="000202FB"/>
    <w:rsid w:val="000208C3"/>
    <w:rsid w:val="00020DEE"/>
    <w:rsid w:val="00021094"/>
    <w:rsid w:val="000210DF"/>
    <w:rsid w:val="00021400"/>
    <w:rsid w:val="000215FA"/>
    <w:rsid w:val="00021670"/>
    <w:rsid w:val="0002177E"/>
    <w:rsid w:val="00021D27"/>
    <w:rsid w:val="000224DB"/>
    <w:rsid w:val="0002263A"/>
    <w:rsid w:val="0002289F"/>
    <w:rsid w:val="0002294D"/>
    <w:rsid w:val="00023037"/>
    <w:rsid w:val="000231CA"/>
    <w:rsid w:val="0002361F"/>
    <w:rsid w:val="000237F6"/>
    <w:rsid w:val="0002381C"/>
    <w:rsid w:val="00023EF0"/>
    <w:rsid w:val="00024193"/>
    <w:rsid w:val="00024307"/>
    <w:rsid w:val="00024455"/>
    <w:rsid w:val="000246AB"/>
    <w:rsid w:val="00024C2F"/>
    <w:rsid w:val="00024C64"/>
    <w:rsid w:val="0002505E"/>
    <w:rsid w:val="000251F2"/>
    <w:rsid w:val="00025388"/>
    <w:rsid w:val="00025692"/>
    <w:rsid w:val="00025D43"/>
    <w:rsid w:val="000260AF"/>
    <w:rsid w:val="00026152"/>
    <w:rsid w:val="000263B9"/>
    <w:rsid w:val="000267BF"/>
    <w:rsid w:val="000269D3"/>
    <w:rsid w:val="00026DF6"/>
    <w:rsid w:val="00026FA0"/>
    <w:rsid w:val="0002745B"/>
    <w:rsid w:val="0002775B"/>
    <w:rsid w:val="00027767"/>
    <w:rsid w:val="0002788E"/>
    <w:rsid w:val="00027D42"/>
    <w:rsid w:val="0003005F"/>
    <w:rsid w:val="0003018D"/>
    <w:rsid w:val="00030399"/>
    <w:rsid w:val="000308BD"/>
    <w:rsid w:val="00030DDD"/>
    <w:rsid w:val="00031233"/>
    <w:rsid w:val="00031433"/>
    <w:rsid w:val="00031444"/>
    <w:rsid w:val="00031617"/>
    <w:rsid w:val="00031829"/>
    <w:rsid w:val="000318E8"/>
    <w:rsid w:val="00031B51"/>
    <w:rsid w:val="00031E41"/>
    <w:rsid w:val="000323AC"/>
    <w:rsid w:val="000324A4"/>
    <w:rsid w:val="0003272F"/>
    <w:rsid w:val="00032C16"/>
    <w:rsid w:val="00032C98"/>
    <w:rsid w:val="00032F40"/>
    <w:rsid w:val="000331BE"/>
    <w:rsid w:val="0003332D"/>
    <w:rsid w:val="00033758"/>
    <w:rsid w:val="000338DC"/>
    <w:rsid w:val="0003394D"/>
    <w:rsid w:val="00033B50"/>
    <w:rsid w:val="00033C66"/>
    <w:rsid w:val="0003459C"/>
    <w:rsid w:val="000345A2"/>
    <w:rsid w:val="00034A3D"/>
    <w:rsid w:val="00034AE0"/>
    <w:rsid w:val="00034B0C"/>
    <w:rsid w:val="00034B14"/>
    <w:rsid w:val="00034D42"/>
    <w:rsid w:val="000355A4"/>
    <w:rsid w:val="00035D8C"/>
    <w:rsid w:val="000361F8"/>
    <w:rsid w:val="00036378"/>
    <w:rsid w:val="000366DA"/>
    <w:rsid w:val="00036BA8"/>
    <w:rsid w:val="00036E11"/>
    <w:rsid w:val="0003702A"/>
    <w:rsid w:val="00037105"/>
    <w:rsid w:val="000371D8"/>
    <w:rsid w:val="000377E6"/>
    <w:rsid w:val="000378AF"/>
    <w:rsid w:val="00037972"/>
    <w:rsid w:val="00037CF6"/>
    <w:rsid w:val="00037F76"/>
    <w:rsid w:val="000400D9"/>
    <w:rsid w:val="00040811"/>
    <w:rsid w:val="00040C7C"/>
    <w:rsid w:val="00040E4D"/>
    <w:rsid w:val="0004151C"/>
    <w:rsid w:val="00041A1B"/>
    <w:rsid w:val="00041B99"/>
    <w:rsid w:val="00041D15"/>
    <w:rsid w:val="00041FB4"/>
    <w:rsid w:val="000420C6"/>
    <w:rsid w:val="000423F2"/>
    <w:rsid w:val="0004264F"/>
    <w:rsid w:val="000429C5"/>
    <w:rsid w:val="00042C25"/>
    <w:rsid w:val="00042CF7"/>
    <w:rsid w:val="00042E1D"/>
    <w:rsid w:val="00042FB1"/>
    <w:rsid w:val="00043138"/>
    <w:rsid w:val="00043307"/>
    <w:rsid w:val="00043606"/>
    <w:rsid w:val="00043AD8"/>
    <w:rsid w:val="00043EA1"/>
    <w:rsid w:val="0004430B"/>
    <w:rsid w:val="0004434D"/>
    <w:rsid w:val="0004489A"/>
    <w:rsid w:val="00044929"/>
    <w:rsid w:val="000453E6"/>
    <w:rsid w:val="000457E9"/>
    <w:rsid w:val="00045F7A"/>
    <w:rsid w:val="00046140"/>
    <w:rsid w:val="00046887"/>
    <w:rsid w:val="00046B87"/>
    <w:rsid w:val="00046BCD"/>
    <w:rsid w:val="000472B6"/>
    <w:rsid w:val="00047DAE"/>
    <w:rsid w:val="00047E56"/>
    <w:rsid w:val="00047E81"/>
    <w:rsid w:val="00047EB0"/>
    <w:rsid w:val="0005001B"/>
    <w:rsid w:val="000508AD"/>
    <w:rsid w:val="00050B23"/>
    <w:rsid w:val="00050B70"/>
    <w:rsid w:val="00050CD4"/>
    <w:rsid w:val="00050E2D"/>
    <w:rsid w:val="000518E4"/>
    <w:rsid w:val="00051AF4"/>
    <w:rsid w:val="00051C12"/>
    <w:rsid w:val="00052373"/>
    <w:rsid w:val="00052995"/>
    <w:rsid w:val="00052A3F"/>
    <w:rsid w:val="00052F77"/>
    <w:rsid w:val="000531F4"/>
    <w:rsid w:val="00053601"/>
    <w:rsid w:val="000536BC"/>
    <w:rsid w:val="000537BE"/>
    <w:rsid w:val="00053A40"/>
    <w:rsid w:val="00054160"/>
    <w:rsid w:val="000547C3"/>
    <w:rsid w:val="00054D5D"/>
    <w:rsid w:val="000554E1"/>
    <w:rsid w:val="00055B8D"/>
    <w:rsid w:val="00055C85"/>
    <w:rsid w:val="00056AC7"/>
    <w:rsid w:val="00056AEB"/>
    <w:rsid w:val="00056B6C"/>
    <w:rsid w:val="00056E08"/>
    <w:rsid w:val="000570D6"/>
    <w:rsid w:val="00057D1A"/>
    <w:rsid w:val="000604BD"/>
    <w:rsid w:val="0006050C"/>
    <w:rsid w:val="000606C4"/>
    <w:rsid w:val="000606DF"/>
    <w:rsid w:val="00060813"/>
    <w:rsid w:val="0006089F"/>
    <w:rsid w:val="00060ACF"/>
    <w:rsid w:val="00060B04"/>
    <w:rsid w:val="00060B3B"/>
    <w:rsid w:val="00060B7C"/>
    <w:rsid w:val="0006115C"/>
    <w:rsid w:val="000611F6"/>
    <w:rsid w:val="000613E4"/>
    <w:rsid w:val="00061E49"/>
    <w:rsid w:val="000620A1"/>
    <w:rsid w:val="000625C2"/>
    <w:rsid w:val="00062CA1"/>
    <w:rsid w:val="00062D8C"/>
    <w:rsid w:val="00062E20"/>
    <w:rsid w:val="00062E62"/>
    <w:rsid w:val="000632EA"/>
    <w:rsid w:val="00063E53"/>
    <w:rsid w:val="000643FE"/>
    <w:rsid w:val="000646C0"/>
    <w:rsid w:val="000646CD"/>
    <w:rsid w:val="00064B86"/>
    <w:rsid w:val="00065119"/>
    <w:rsid w:val="0006543A"/>
    <w:rsid w:val="0006567D"/>
    <w:rsid w:val="00065A25"/>
    <w:rsid w:val="00065A55"/>
    <w:rsid w:val="00065AA8"/>
    <w:rsid w:val="00065B11"/>
    <w:rsid w:val="00065E4F"/>
    <w:rsid w:val="000661DA"/>
    <w:rsid w:val="00066B2A"/>
    <w:rsid w:val="00066B78"/>
    <w:rsid w:val="00067079"/>
    <w:rsid w:val="0006786D"/>
    <w:rsid w:val="00067A35"/>
    <w:rsid w:val="00067BB7"/>
    <w:rsid w:val="00067C4B"/>
    <w:rsid w:val="00067D21"/>
    <w:rsid w:val="0007001C"/>
    <w:rsid w:val="000703A2"/>
    <w:rsid w:val="00070517"/>
    <w:rsid w:val="000705BF"/>
    <w:rsid w:val="000708EB"/>
    <w:rsid w:val="00070DFE"/>
    <w:rsid w:val="00070E2C"/>
    <w:rsid w:val="0007195D"/>
    <w:rsid w:val="000719AA"/>
    <w:rsid w:val="00071B5D"/>
    <w:rsid w:val="00071E43"/>
    <w:rsid w:val="00071E99"/>
    <w:rsid w:val="0007261A"/>
    <w:rsid w:val="00072A9E"/>
    <w:rsid w:val="0007315E"/>
    <w:rsid w:val="000735EE"/>
    <w:rsid w:val="000735F8"/>
    <w:rsid w:val="00073607"/>
    <w:rsid w:val="00073C5E"/>
    <w:rsid w:val="0007464E"/>
    <w:rsid w:val="0007489C"/>
    <w:rsid w:val="00074C75"/>
    <w:rsid w:val="00075406"/>
    <w:rsid w:val="00076029"/>
    <w:rsid w:val="00076256"/>
    <w:rsid w:val="000762B3"/>
    <w:rsid w:val="000763F6"/>
    <w:rsid w:val="00076579"/>
    <w:rsid w:val="0007679F"/>
    <w:rsid w:val="00076B09"/>
    <w:rsid w:val="00076B16"/>
    <w:rsid w:val="00076D21"/>
    <w:rsid w:val="000773B1"/>
    <w:rsid w:val="0007777E"/>
    <w:rsid w:val="00077950"/>
    <w:rsid w:val="00077AE4"/>
    <w:rsid w:val="00077B8E"/>
    <w:rsid w:val="00077C89"/>
    <w:rsid w:val="00077D17"/>
    <w:rsid w:val="00077D47"/>
    <w:rsid w:val="0008007A"/>
    <w:rsid w:val="00080329"/>
    <w:rsid w:val="000803BD"/>
    <w:rsid w:val="00081180"/>
    <w:rsid w:val="0008137A"/>
    <w:rsid w:val="00081748"/>
    <w:rsid w:val="00081D0A"/>
    <w:rsid w:val="00081D3F"/>
    <w:rsid w:val="00082740"/>
    <w:rsid w:val="00083519"/>
    <w:rsid w:val="00083769"/>
    <w:rsid w:val="00083AE1"/>
    <w:rsid w:val="00083B44"/>
    <w:rsid w:val="00083E8D"/>
    <w:rsid w:val="000845DA"/>
    <w:rsid w:val="0008490A"/>
    <w:rsid w:val="000849D0"/>
    <w:rsid w:val="00084BBD"/>
    <w:rsid w:val="000857DA"/>
    <w:rsid w:val="00085C11"/>
    <w:rsid w:val="00085EA2"/>
    <w:rsid w:val="00085EAE"/>
    <w:rsid w:val="000864C4"/>
    <w:rsid w:val="00086637"/>
    <w:rsid w:val="00086672"/>
    <w:rsid w:val="000866E1"/>
    <w:rsid w:val="000869D0"/>
    <w:rsid w:val="00086BC5"/>
    <w:rsid w:val="00086C6F"/>
    <w:rsid w:val="00087544"/>
    <w:rsid w:val="000877E0"/>
    <w:rsid w:val="0009064D"/>
    <w:rsid w:val="00090896"/>
    <w:rsid w:val="00090F08"/>
    <w:rsid w:val="00090FB4"/>
    <w:rsid w:val="0009139F"/>
    <w:rsid w:val="00091834"/>
    <w:rsid w:val="00091BF3"/>
    <w:rsid w:val="00092641"/>
    <w:rsid w:val="000928FC"/>
    <w:rsid w:val="00092B05"/>
    <w:rsid w:val="00092B07"/>
    <w:rsid w:val="00092FD1"/>
    <w:rsid w:val="00092FDE"/>
    <w:rsid w:val="0009309A"/>
    <w:rsid w:val="00093215"/>
    <w:rsid w:val="0009351D"/>
    <w:rsid w:val="00093D60"/>
    <w:rsid w:val="00093FD1"/>
    <w:rsid w:val="00094782"/>
    <w:rsid w:val="00094CF3"/>
    <w:rsid w:val="00095079"/>
    <w:rsid w:val="0009519C"/>
    <w:rsid w:val="000953C6"/>
    <w:rsid w:val="0009578E"/>
    <w:rsid w:val="00096077"/>
    <w:rsid w:val="0009652C"/>
    <w:rsid w:val="000965FD"/>
    <w:rsid w:val="0009664C"/>
    <w:rsid w:val="0009693E"/>
    <w:rsid w:val="000969CF"/>
    <w:rsid w:val="0009778C"/>
    <w:rsid w:val="000978AC"/>
    <w:rsid w:val="00097A24"/>
    <w:rsid w:val="00097A6B"/>
    <w:rsid w:val="00097C19"/>
    <w:rsid w:val="00097CE2"/>
    <w:rsid w:val="00097F61"/>
    <w:rsid w:val="000A0221"/>
    <w:rsid w:val="000A0232"/>
    <w:rsid w:val="000A03DE"/>
    <w:rsid w:val="000A042D"/>
    <w:rsid w:val="000A0676"/>
    <w:rsid w:val="000A077E"/>
    <w:rsid w:val="000A09C3"/>
    <w:rsid w:val="000A0B57"/>
    <w:rsid w:val="000A0E46"/>
    <w:rsid w:val="000A117F"/>
    <w:rsid w:val="000A1732"/>
    <w:rsid w:val="000A17EC"/>
    <w:rsid w:val="000A1ED3"/>
    <w:rsid w:val="000A22DF"/>
    <w:rsid w:val="000A25E6"/>
    <w:rsid w:val="000A26B7"/>
    <w:rsid w:val="000A27A9"/>
    <w:rsid w:val="000A299A"/>
    <w:rsid w:val="000A3110"/>
    <w:rsid w:val="000A34A1"/>
    <w:rsid w:val="000A3DF2"/>
    <w:rsid w:val="000A4128"/>
    <w:rsid w:val="000A488B"/>
    <w:rsid w:val="000A48DB"/>
    <w:rsid w:val="000A48EA"/>
    <w:rsid w:val="000A49A1"/>
    <w:rsid w:val="000A4A70"/>
    <w:rsid w:val="000A4CCA"/>
    <w:rsid w:val="000A4EB9"/>
    <w:rsid w:val="000A5274"/>
    <w:rsid w:val="000A59FB"/>
    <w:rsid w:val="000A6364"/>
    <w:rsid w:val="000A65EB"/>
    <w:rsid w:val="000A689B"/>
    <w:rsid w:val="000A6B46"/>
    <w:rsid w:val="000A6E02"/>
    <w:rsid w:val="000A7171"/>
    <w:rsid w:val="000A71F8"/>
    <w:rsid w:val="000A7445"/>
    <w:rsid w:val="000A7FC8"/>
    <w:rsid w:val="000A7FE4"/>
    <w:rsid w:val="000B0D04"/>
    <w:rsid w:val="000B0E6F"/>
    <w:rsid w:val="000B14D1"/>
    <w:rsid w:val="000B16DD"/>
    <w:rsid w:val="000B2296"/>
    <w:rsid w:val="000B25D1"/>
    <w:rsid w:val="000B2842"/>
    <w:rsid w:val="000B2A37"/>
    <w:rsid w:val="000B2CD9"/>
    <w:rsid w:val="000B2D66"/>
    <w:rsid w:val="000B2EF4"/>
    <w:rsid w:val="000B3409"/>
    <w:rsid w:val="000B3438"/>
    <w:rsid w:val="000B3C48"/>
    <w:rsid w:val="000B3FF7"/>
    <w:rsid w:val="000B4450"/>
    <w:rsid w:val="000B45F8"/>
    <w:rsid w:val="000B48B1"/>
    <w:rsid w:val="000B4B73"/>
    <w:rsid w:val="000B4E0D"/>
    <w:rsid w:val="000B4FD1"/>
    <w:rsid w:val="000B535E"/>
    <w:rsid w:val="000B564C"/>
    <w:rsid w:val="000B56D4"/>
    <w:rsid w:val="000B5884"/>
    <w:rsid w:val="000B5E7C"/>
    <w:rsid w:val="000B6A2E"/>
    <w:rsid w:val="000B6D94"/>
    <w:rsid w:val="000B72C4"/>
    <w:rsid w:val="000B72D6"/>
    <w:rsid w:val="000B7324"/>
    <w:rsid w:val="000B7633"/>
    <w:rsid w:val="000B775C"/>
    <w:rsid w:val="000B7B71"/>
    <w:rsid w:val="000B7DDF"/>
    <w:rsid w:val="000B7EA3"/>
    <w:rsid w:val="000B7F83"/>
    <w:rsid w:val="000B7F98"/>
    <w:rsid w:val="000C0019"/>
    <w:rsid w:val="000C03D1"/>
    <w:rsid w:val="000C051B"/>
    <w:rsid w:val="000C0607"/>
    <w:rsid w:val="000C0D31"/>
    <w:rsid w:val="000C0FAD"/>
    <w:rsid w:val="000C122B"/>
    <w:rsid w:val="000C17BB"/>
    <w:rsid w:val="000C18B3"/>
    <w:rsid w:val="000C1C64"/>
    <w:rsid w:val="000C1ECA"/>
    <w:rsid w:val="000C2302"/>
    <w:rsid w:val="000C247F"/>
    <w:rsid w:val="000C25BA"/>
    <w:rsid w:val="000C2805"/>
    <w:rsid w:val="000C29D2"/>
    <w:rsid w:val="000C2C3E"/>
    <w:rsid w:val="000C2E08"/>
    <w:rsid w:val="000C2F0E"/>
    <w:rsid w:val="000C3237"/>
    <w:rsid w:val="000C3259"/>
    <w:rsid w:val="000C335B"/>
    <w:rsid w:val="000C35A4"/>
    <w:rsid w:val="000C3831"/>
    <w:rsid w:val="000C389A"/>
    <w:rsid w:val="000C3FD5"/>
    <w:rsid w:val="000C4656"/>
    <w:rsid w:val="000C470A"/>
    <w:rsid w:val="000C475D"/>
    <w:rsid w:val="000C47AA"/>
    <w:rsid w:val="000C4873"/>
    <w:rsid w:val="000C49DA"/>
    <w:rsid w:val="000C4CF7"/>
    <w:rsid w:val="000C4D30"/>
    <w:rsid w:val="000C60E6"/>
    <w:rsid w:val="000C6925"/>
    <w:rsid w:val="000C6E5A"/>
    <w:rsid w:val="000C750C"/>
    <w:rsid w:val="000C7563"/>
    <w:rsid w:val="000C79CA"/>
    <w:rsid w:val="000C7B7D"/>
    <w:rsid w:val="000D0541"/>
    <w:rsid w:val="000D075A"/>
    <w:rsid w:val="000D094E"/>
    <w:rsid w:val="000D1679"/>
    <w:rsid w:val="000D179B"/>
    <w:rsid w:val="000D1870"/>
    <w:rsid w:val="000D1F73"/>
    <w:rsid w:val="000D26BB"/>
    <w:rsid w:val="000D29E9"/>
    <w:rsid w:val="000D2DC1"/>
    <w:rsid w:val="000D30D0"/>
    <w:rsid w:val="000D3105"/>
    <w:rsid w:val="000D3A36"/>
    <w:rsid w:val="000D3C91"/>
    <w:rsid w:val="000D3D4A"/>
    <w:rsid w:val="000D3E34"/>
    <w:rsid w:val="000D435F"/>
    <w:rsid w:val="000D4449"/>
    <w:rsid w:val="000D4541"/>
    <w:rsid w:val="000D45A9"/>
    <w:rsid w:val="000D46EE"/>
    <w:rsid w:val="000D47CD"/>
    <w:rsid w:val="000D48BC"/>
    <w:rsid w:val="000D4A41"/>
    <w:rsid w:val="000D4A8A"/>
    <w:rsid w:val="000D4AAF"/>
    <w:rsid w:val="000D4F3D"/>
    <w:rsid w:val="000D5214"/>
    <w:rsid w:val="000D5649"/>
    <w:rsid w:val="000D5B8C"/>
    <w:rsid w:val="000D5CC4"/>
    <w:rsid w:val="000D613F"/>
    <w:rsid w:val="000D6242"/>
    <w:rsid w:val="000D626D"/>
    <w:rsid w:val="000D6294"/>
    <w:rsid w:val="000D63DF"/>
    <w:rsid w:val="000D6C58"/>
    <w:rsid w:val="000D6E34"/>
    <w:rsid w:val="000D70FE"/>
    <w:rsid w:val="000D713F"/>
    <w:rsid w:val="000D733E"/>
    <w:rsid w:val="000D7F4C"/>
    <w:rsid w:val="000D7FE6"/>
    <w:rsid w:val="000E011C"/>
    <w:rsid w:val="000E01A0"/>
    <w:rsid w:val="000E01B4"/>
    <w:rsid w:val="000E0480"/>
    <w:rsid w:val="000E0640"/>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5FCF"/>
    <w:rsid w:val="000E615E"/>
    <w:rsid w:val="000E636E"/>
    <w:rsid w:val="000E6645"/>
    <w:rsid w:val="000E6709"/>
    <w:rsid w:val="000E6B87"/>
    <w:rsid w:val="000E77AB"/>
    <w:rsid w:val="000E7820"/>
    <w:rsid w:val="000E788C"/>
    <w:rsid w:val="000E798E"/>
    <w:rsid w:val="000E7D00"/>
    <w:rsid w:val="000E7EB7"/>
    <w:rsid w:val="000E7EBA"/>
    <w:rsid w:val="000F088D"/>
    <w:rsid w:val="000F0895"/>
    <w:rsid w:val="000F0FFA"/>
    <w:rsid w:val="000F10E3"/>
    <w:rsid w:val="000F149B"/>
    <w:rsid w:val="000F1790"/>
    <w:rsid w:val="000F2195"/>
    <w:rsid w:val="000F24BE"/>
    <w:rsid w:val="000F26BF"/>
    <w:rsid w:val="000F272C"/>
    <w:rsid w:val="000F27FF"/>
    <w:rsid w:val="000F2986"/>
    <w:rsid w:val="000F2A99"/>
    <w:rsid w:val="000F2F38"/>
    <w:rsid w:val="000F31E7"/>
    <w:rsid w:val="000F33E2"/>
    <w:rsid w:val="000F3435"/>
    <w:rsid w:val="000F3A58"/>
    <w:rsid w:val="000F3A7A"/>
    <w:rsid w:val="000F4053"/>
    <w:rsid w:val="000F4159"/>
    <w:rsid w:val="000F42A3"/>
    <w:rsid w:val="000F43EF"/>
    <w:rsid w:val="000F4B1F"/>
    <w:rsid w:val="000F4BF0"/>
    <w:rsid w:val="000F5168"/>
    <w:rsid w:val="000F53F0"/>
    <w:rsid w:val="000F5874"/>
    <w:rsid w:val="000F5CBE"/>
    <w:rsid w:val="000F6096"/>
    <w:rsid w:val="000F613C"/>
    <w:rsid w:val="000F615A"/>
    <w:rsid w:val="000F64C5"/>
    <w:rsid w:val="000F64F1"/>
    <w:rsid w:val="000F655C"/>
    <w:rsid w:val="000F6641"/>
    <w:rsid w:val="000F668E"/>
    <w:rsid w:val="000F671B"/>
    <w:rsid w:val="000F674E"/>
    <w:rsid w:val="000F67E5"/>
    <w:rsid w:val="000F6E07"/>
    <w:rsid w:val="000F7147"/>
    <w:rsid w:val="000F75B6"/>
    <w:rsid w:val="000F76BB"/>
    <w:rsid w:val="000F7EF8"/>
    <w:rsid w:val="000F7EFB"/>
    <w:rsid w:val="000F7F72"/>
    <w:rsid w:val="001004DF"/>
    <w:rsid w:val="0010068D"/>
    <w:rsid w:val="00100874"/>
    <w:rsid w:val="001009FC"/>
    <w:rsid w:val="00100B02"/>
    <w:rsid w:val="00100FB6"/>
    <w:rsid w:val="001016A5"/>
    <w:rsid w:val="001017BA"/>
    <w:rsid w:val="00102289"/>
    <w:rsid w:val="00102329"/>
    <w:rsid w:val="0010243D"/>
    <w:rsid w:val="00102555"/>
    <w:rsid w:val="001025F4"/>
    <w:rsid w:val="00102708"/>
    <w:rsid w:val="00102A0C"/>
    <w:rsid w:val="00102B58"/>
    <w:rsid w:val="00102BAC"/>
    <w:rsid w:val="00102FAA"/>
    <w:rsid w:val="001037FE"/>
    <w:rsid w:val="00103931"/>
    <w:rsid w:val="00103B79"/>
    <w:rsid w:val="00103BD8"/>
    <w:rsid w:val="00103CFB"/>
    <w:rsid w:val="0010425F"/>
    <w:rsid w:val="00104427"/>
    <w:rsid w:val="0010443D"/>
    <w:rsid w:val="00105041"/>
    <w:rsid w:val="001050A2"/>
    <w:rsid w:val="001051E9"/>
    <w:rsid w:val="001054C8"/>
    <w:rsid w:val="00105667"/>
    <w:rsid w:val="001056EA"/>
    <w:rsid w:val="0010577A"/>
    <w:rsid w:val="00105791"/>
    <w:rsid w:val="001058B7"/>
    <w:rsid w:val="00105E26"/>
    <w:rsid w:val="00105E5C"/>
    <w:rsid w:val="00105E9B"/>
    <w:rsid w:val="00106BF1"/>
    <w:rsid w:val="00106C14"/>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296B"/>
    <w:rsid w:val="0011315C"/>
    <w:rsid w:val="001136ED"/>
    <w:rsid w:val="00114137"/>
    <w:rsid w:val="00114251"/>
    <w:rsid w:val="001146FA"/>
    <w:rsid w:val="0011480B"/>
    <w:rsid w:val="00115024"/>
    <w:rsid w:val="001154F4"/>
    <w:rsid w:val="00115690"/>
    <w:rsid w:val="001158F4"/>
    <w:rsid w:val="00115ACD"/>
    <w:rsid w:val="001167B1"/>
    <w:rsid w:val="0011688E"/>
    <w:rsid w:val="00116C55"/>
    <w:rsid w:val="00116D18"/>
    <w:rsid w:val="001172F2"/>
    <w:rsid w:val="00117788"/>
    <w:rsid w:val="0011793C"/>
    <w:rsid w:val="00117BBF"/>
    <w:rsid w:val="00117EA5"/>
    <w:rsid w:val="00117EBD"/>
    <w:rsid w:val="00120224"/>
    <w:rsid w:val="001208AC"/>
    <w:rsid w:val="00120A94"/>
    <w:rsid w:val="00120D4E"/>
    <w:rsid w:val="00120E02"/>
    <w:rsid w:val="00120EA7"/>
    <w:rsid w:val="00120F60"/>
    <w:rsid w:val="001224C4"/>
    <w:rsid w:val="0012257F"/>
    <w:rsid w:val="0012260A"/>
    <w:rsid w:val="00122824"/>
    <w:rsid w:val="001228D0"/>
    <w:rsid w:val="00122970"/>
    <w:rsid w:val="00122C99"/>
    <w:rsid w:val="00123251"/>
    <w:rsid w:val="0012359D"/>
    <w:rsid w:val="001238B5"/>
    <w:rsid w:val="00123B2F"/>
    <w:rsid w:val="00123DB6"/>
    <w:rsid w:val="00124107"/>
    <w:rsid w:val="00124565"/>
    <w:rsid w:val="001247F8"/>
    <w:rsid w:val="00124807"/>
    <w:rsid w:val="00124D40"/>
    <w:rsid w:val="00124F5C"/>
    <w:rsid w:val="001253E5"/>
    <w:rsid w:val="0012545C"/>
    <w:rsid w:val="001255E5"/>
    <w:rsid w:val="00125727"/>
    <w:rsid w:val="00125850"/>
    <w:rsid w:val="00125AA7"/>
    <w:rsid w:val="00125AC9"/>
    <w:rsid w:val="00125CF0"/>
    <w:rsid w:val="00125F04"/>
    <w:rsid w:val="001260CA"/>
    <w:rsid w:val="0012610C"/>
    <w:rsid w:val="001262E2"/>
    <w:rsid w:val="00126DA7"/>
    <w:rsid w:val="001270A7"/>
    <w:rsid w:val="0012716F"/>
    <w:rsid w:val="0012722B"/>
    <w:rsid w:val="0012766B"/>
    <w:rsid w:val="00127CBA"/>
    <w:rsid w:val="00127E3E"/>
    <w:rsid w:val="00127F17"/>
    <w:rsid w:val="0013012C"/>
    <w:rsid w:val="00130442"/>
    <w:rsid w:val="001304B5"/>
    <w:rsid w:val="00130642"/>
    <w:rsid w:val="00130DDE"/>
    <w:rsid w:val="00130EE4"/>
    <w:rsid w:val="00131671"/>
    <w:rsid w:val="00131B4B"/>
    <w:rsid w:val="00131CC4"/>
    <w:rsid w:val="00131D1C"/>
    <w:rsid w:val="00131F0F"/>
    <w:rsid w:val="0013269B"/>
    <w:rsid w:val="001328DB"/>
    <w:rsid w:val="001329B6"/>
    <w:rsid w:val="00132BF7"/>
    <w:rsid w:val="00132C4A"/>
    <w:rsid w:val="00132F10"/>
    <w:rsid w:val="00133016"/>
    <w:rsid w:val="001337A7"/>
    <w:rsid w:val="0013384F"/>
    <w:rsid w:val="00133D57"/>
    <w:rsid w:val="00134088"/>
    <w:rsid w:val="001340C7"/>
    <w:rsid w:val="001343F0"/>
    <w:rsid w:val="001344E6"/>
    <w:rsid w:val="001346CD"/>
    <w:rsid w:val="0013475F"/>
    <w:rsid w:val="0013482E"/>
    <w:rsid w:val="00134970"/>
    <w:rsid w:val="00134A33"/>
    <w:rsid w:val="0013505C"/>
    <w:rsid w:val="0013551E"/>
    <w:rsid w:val="00135BFE"/>
    <w:rsid w:val="00135EA7"/>
    <w:rsid w:val="001360E3"/>
    <w:rsid w:val="001364CF"/>
    <w:rsid w:val="001367CD"/>
    <w:rsid w:val="00136F88"/>
    <w:rsid w:val="00137551"/>
    <w:rsid w:val="00137C6D"/>
    <w:rsid w:val="00137C9E"/>
    <w:rsid w:val="00137CC5"/>
    <w:rsid w:val="001402DF"/>
    <w:rsid w:val="00140790"/>
    <w:rsid w:val="001407F9"/>
    <w:rsid w:val="00140C2A"/>
    <w:rsid w:val="00140C36"/>
    <w:rsid w:val="00140FF5"/>
    <w:rsid w:val="00141500"/>
    <w:rsid w:val="001416E6"/>
    <w:rsid w:val="001421AF"/>
    <w:rsid w:val="00142387"/>
    <w:rsid w:val="001423A2"/>
    <w:rsid w:val="00142A25"/>
    <w:rsid w:val="00142AD5"/>
    <w:rsid w:val="00142E1A"/>
    <w:rsid w:val="00142F65"/>
    <w:rsid w:val="00143CDF"/>
    <w:rsid w:val="0014416B"/>
    <w:rsid w:val="001443E6"/>
    <w:rsid w:val="0014468C"/>
    <w:rsid w:val="00144CDC"/>
    <w:rsid w:val="00144E76"/>
    <w:rsid w:val="00144F21"/>
    <w:rsid w:val="001453D9"/>
    <w:rsid w:val="00145645"/>
    <w:rsid w:val="00145729"/>
    <w:rsid w:val="00145FD1"/>
    <w:rsid w:val="00146BC8"/>
    <w:rsid w:val="00146CE9"/>
    <w:rsid w:val="00146FDB"/>
    <w:rsid w:val="0014713A"/>
    <w:rsid w:val="0014726D"/>
    <w:rsid w:val="001472AE"/>
    <w:rsid w:val="00147320"/>
    <w:rsid w:val="00147E75"/>
    <w:rsid w:val="00147E9E"/>
    <w:rsid w:val="001507FE"/>
    <w:rsid w:val="0015092A"/>
    <w:rsid w:val="00150E05"/>
    <w:rsid w:val="00150EAB"/>
    <w:rsid w:val="0015156A"/>
    <w:rsid w:val="0015184C"/>
    <w:rsid w:val="00151C15"/>
    <w:rsid w:val="00152127"/>
    <w:rsid w:val="00152405"/>
    <w:rsid w:val="00152559"/>
    <w:rsid w:val="001525DF"/>
    <w:rsid w:val="00152710"/>
    <w:rsid w:val="00152C4B"/>
    <w:rsid w:val="00152D39"/>
    <w:rsid w:val="00152F37"/>
    <w:rsid w:val="00153034"/>
    <w:rsid w:val="001531DF"/>
    <w:rsid w:val="001537DC"/>
    <w:rsid w:val="001538D1"/>
    <w:rsid w:val="00153C6F"/>
    <w:rsid w:val="001542CE"/>
    <w:rsid w:val="001543C1"/>
    <w:rsid w:val="00154404"/>
    <w:rsid w:val="00154485"/>
    <w:rsid w:val="001544AD"/>
    <w:rsid w:val="001546B0"/>
    <w:rsid w:val="001548BE"/>
    <w:rsid w:val="00154A16"/>
    <w:rsid w:val="00154B28"/>
    <w:rsid w:val="00154B76"/>
    <w:rsid w:val="00155A45"/>
    <w:rsid w:val="00155B8F"/>
    <w:rsid w:val="00155F2B"/>
    <w:rsid w:val="001560AC"/>
    <w:rsid w:val="001560F7"/>
    <w:rsid w:val="0015610D"/>
    <w:rsid w:val="00156168"/>
    <w:rsid w:val="00156488"/>
    <w:rsid w:val="001565F1"/>
    <w:rsid w:val="00156BA2"/>
    <w:rsid w:val="00156D1D"/>
    <w:rsid w:val="00156F78"/>
    <w:rsid w:val="00157029"/>
    <w:rsid w:val="0015722B"/>
    <w:rsid w:val="00157317"/>
    <w:rsid w:val="0015752C"/>
    <w:rsid w:val="00157604"/>
    <w:rsid w:val="00157C14"/>
    <w:rsid w:val="00157CF7"/>
    <w:rsid w:val="00157D27"/>
    <w:rsid w:val="0016001F"/>
    <w:rsid w:val="001606FF"/>
    <w:rsid w:val="0016080A"/>
    <w:rsid w:val="00160D26"/>
    <w:rsid w:val="00160E10"/>
    <w:rsid w:val="00160EC2"/>
    <w:rsid w:val="001613E1"/>
    <w:rsid w:val="001614DE"/>
    <w:rsid w:val="0016156F"/>
    <w:rsid w:val="00161954"/>
    <w:rsid w:val="001619FC"/>
    <w:rsid w:val="00161CF3"/>
    <w:rsid w:val="0016222E"/>
    <w:rsid w:val="001622B7"/>
    <w:rsid w:val="00162392"/>
    <w:rsid w:val="00162E51"/>
    <w:rsid w:val="001631D9"/>
    <w:rsid w:val="001633BE"/>
    <w:rsid w:val="00163470"/>
    <w:rsid w:val="00163674"/>
    <w:rsid w:val="00163904"/>
    <w:rsid w:val="00163A4B"/>
    <w:rsid w:val="00163AA9"/>
    <w:rsid w:val="00163EBE"/>
    <w:rsid w:val="00164277"/>
    <w:rsid w:val="001643E2"/>
    <w:rsid w:val="0016483D"/>
    <w:rsid w:val="00164A52"/>
    <w:rsid w:val="00165008"/>
    <w:rsid w:val="001650F6"/>
    <w:rsid w:val="0016512C"/>
    <w:rsid w:val="00165732"/>
    <w:rsid w:val="001659F6"/>
    <w:rsid w:val="00165CA1"/>
    <w:rsid w:val="00165EA2"/>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002"/>
    <w:rsid w:val="001721BD"/>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4CE6"/>
    <w:rsid w:val="00175539"/>
    <w:rsid w:val="00175710"/>
    <w:rsid w:val="001764DF"/>
    <w:rsid w:val="00176569"/>
    <w:rsid w:val="0017694C"/>
    <w:rsid w:val="00176C8E"/>
    <w:rsid w:val="00176D20"/>
    <w:rsid w:val="001772A7"/>
    <w:rsid w:val="001773FC"/>
    <w:rsid w:val="001777DF"/>
    <w:rsid w:val="0018040E"/>
    <w:rsid w:val="00180860"/>
    <w:rsid w:val="00180EE9"/>
    <w:rsid w:val="00180FB3"/>
    <w:rsid w:val="001810CA"/>
    <w:rsid w:val="00181234"/>
    <w:rsid w:val="00181600"/>
    <w:rsid w:val="001817AA"/>
    <w:rsid w:val="00181935"/>
    <w:rsid w:val="00181A3B"/>
    <w:rsid w:val="00181F9E"/>
    <w:rsid w:val="0018208B"/>
    <w:rsid w:val="00182278"/>
    <w:rsid w:val="00182905"/>
    <w:rsid w:val="00182993"/>
    <w:rsid w:val="001829B9"/>
    <w:rsid w:val="001829E2"/>
    <w:rsid w:val="00183A11"/>
    <w:rsid w:val="001840D4"/>
    <w:rsid w:val="00184409"/>
    <w:rsid w:val="00184430"/>
    <w:rsid w:val="001844CB"/>
    <w:rsid w:val="001849E0"/>
    <w:rsid w:val="00184A57"/>
    <w:rsid w:val="00184FF6"/>
    <w:rsid w:val="0018517D"/>
    <w:rsid w:val="001852FE"/>
    <w:rsid w:val="0018569F"/>
    <w:rsid w:val="001859F3"/>
    <w:rsid w:val="00185BE6"/>
    <w:rsid w:val="0018603E"/>
    <w:rsid w:val="001860CF"/>
    <w:rsid w:val="00186298"/>
    <w:rsid w:val="00186766"/>
    <w:rsid w:val="001867E0"/>
    <w:rsid w:val="00186A1F"/>
    <w:rsid w:val="00186AD3"/>
    <w:rsid w:val="00186CC5"/>
    <w:rsid w:val="001870E1"/>
    <w:rsid w:val="001875CE"/>
    <w:rsid w:val="0018766E"/>
    <w:rsid w:val="00187831"/>
    <w:rsid w:val="00187858"/>
    <w:rsid w:val="00187B60"/>
    <w:rsid w:val="00187C62"/>
    <w:rsid w:val="00187E63"/>
    <w:rsid w:val="001900FF"/>
    <w:rsid w:val="001901A0"/>
    <w:rsid w:val="00190EC1"/>
    <w:rsid w:val="00190F96"/>
    <w:rsid w:val="00191358"/>
    <w:rsid w:val="00191393"/>
    <w:rsid w:val="00191561"/>
    <w:rsid w:val="00191790"/>
    <w:rsid w:val="001923B0"/>
    <w:rsid w:val="00192762"/>
    <w:rsid w:val="00192776"/>
    <w:rsid w:val="00192A00"/>
    <w:rsid w:val="00192A1D"/>
    <w:rsid w:val="00192DB0"/>
    <w:rsid w:val="001930CA"/>
    <w:rsid w:val="0019333B"/>
    <w:rsid w:val="00193D23"/>
    <w:rsid w:val="00193D27"/>
    <w:rsid w:val="0019423D"/>
    <w:rsid w:val="001944AB"/>
    <w:rsid w:val="00194F99"/>
    <w:rsid w:val="001950D6"/>
    <w:rsid w:val="00195329"/>
    <w:rsid w:val="00195489"/>
    <w:rsid w:val="00195527"/>
    <w:rsid w:val="0019555D"/>
    <w:rsid w:val="00195D36"/>
    <w:rsid w:val="00195D6D"/>
    <w:rsid w:val="00195F0F"/>
    <w:rsid w:val="001963DF"/>
    <w:rsid w:val="00196403"/>
    <w:rsid w:val="0019652D"/>
    <w:rsid w:val="00196C76"/>
    <w:rsid w:val="00196EB7"/>
    <w:rsid w:val="001976D6"/>
    <w:rsid w:val="00197BE0"/>
    <w:rsid w:val="00197DC7"/>
    <w:rsid w:val="00197EAA"/>
    <w:rsid w:val="00197F52"/>
    <w:rsid w:val="001A00D5"/>
    <w:rsid w:val="001A0417"/>
    <w:rsid w:val="001A0CA2"/>
    <w:rsid w:val="001A110C"/>
    <w:rsid w:val="001A11A8"/>
    <w:rsid w:val="001A1781"/>
    <w:rsid w:val="001A18EE"/>
    <w:rsid w:val="001A1F13"/>
    <w:rsid w:val="001A21CF"/>
    <w:rsid w:val="001A21ED"/>
    <w:rsid w:val="001A2750"/>
    <w:rsid w:val="001A2C48"/>
    <w:rsid w:val="001A2E07"/>
    <w:rsid w:val="001A2FBA"/>
    <w:rsid w:val="001A30FB"/>
    <w:rsid w:val="001A36A1"/>
    <w:rsid w:val="001A37CC"/>
    <w:rsid w:val="001A38C1"/>
    <w:rsid w:val="001A38CC"/>
    <w:rsid w:val="001A39C3"/>
    <w:rsid w:val="001A39CC"/>
    <w:rsid w:val="001A3A3A"/>
    <w:rsid w:val="001A3B1D"/>
    <w:rsid w:val="001A3C71"/>
    <w:rsid w:val="001A40D7"/>
    <w:rsid w:val="001A427B"/>
    <w:rsid w:val="001A445F"/>
    <w:rsid w:val="001A467E"/>
    <w:rsid w:val="001A4F0D"/>
    <w:rsid w:val="001A508E"/>
    <w:rsid w:val="001A51A9"/>
    <w:rsid w:val="001A554E"/>
    <w:rsid w:val="001A5701"/>
    <w:rsid w:val="001A5F5E"/>
    <w:rsid w:val="001A6328"/>
    <w:rsid w:val="001A65C9"/>
    <w:rsid w:val="001A6755"/>
    <w:rsid w:val="001A6963"/>
    <w:rsid w:val="001A6E25"/>
    <w:rsid w:val="001A7586"/>
    <w:rsid w:val="001A75BF"/>
    <w:rsid w:val="001A78F2"/>
    <w:rsid w:val="001A7B89"/>
    <w:rsid w:val="001A7D54"/>
    <w:rsid w:val="001B021D"/>
    <w:rsid w:val="001B06DA"/>
    <w:rsid w:val="001B0D61"/>
    <w:rsid w:val="001B1493"/>
    <w:rsid w:val="001B1539"/>
    <w:rsid w:val="001B1EDD"/>
    <w:rsid w:val="001B2013"/>
    <w:rsid w:val="001B22F3"/>
    <w:rsid w:val="001B244D"/>
    <w:rsid w:val="001B26CD"/>
    <w:rsid w:val="001B2A73"/>
    <w:rsid w:val="001B2C41"/>
    <w:rsid w:val="001B2CEE"/>
    <w:rsid w:val="001B2D2C"/>
    <w:rsid w:val="001B2E40"/>
    <w:rsid w:val="001B2EDD"/>
    <w:rsid w:val="001B31A4"/>
    <w:rsid w:val="001B31EE"/>
    <w:rsid w:val="001B340C"/>
    <w:rsid w:val="001B3678"/>
    <w:rsid w:val="001B369B"/>
    <w:rsid w:val="001B37AE"/>
    <w:rsid w:val="001B3B1B"/>
    <w:rsid w:val="001B4438"/>
    <w:rsid w:val="001B449D"/>
    <w:rsid w:val="001B4D74"/>
    <w:rsid w:val="001B4F02"/>
    <w:rsid w:val="001B5278"/>
    <w:rsid w:val="001B6125"/>
    <w:rsid w:val="001B63C7"/>
    <w:rsid w:val="001B646A"/>
    <w:rsid w:val="001B64C8"/>
    <w:rsid w:val="001B6874"/>
    <w:rsid w:val="001B69A0"/>
    <w:rsid w:val="001B6DCD"/>
    <w:rsid w:val="001B6FE7"/>
    <w:rsid w:val="001B70BC"/>
    <w:rsid w:val="001B71E5"/>
    <w:rsid w:val="001B730F"/>
    <w:rsid w:val="001B738F"/>
    <w:rsid w:val="001B7556"/>
    <w:rsid w:val="001B772B"/>
    <w:rsid w:val="001B7738"/>
    <w:rsid w:val="001B779F"/>
    <w:rsid w:val="001B77B6"/>
    <w:rsid w:val="001B7AC5"/>
    <w:rsid w:val="001B7EFD"/>
    <w:rsid w:val="001C04E5"/>
    <w:rsid w:val="001C05D1"/>
    <w:rsid w:val="001C06C5"/>
    <w:rsid w:val="001C08E2"/>
    <w:rsid w:val="001C0A44"/>
    <w:rsid w:val="001C101E"/>
    <w:rsid w:val="001C1228"/>
    <w:rsid w:val="001C126C"/>
    <w:rsid w:val="001C1DDD"/>
    <w:rsid w:val="001C201B"/>
    <w:rsid w:val="001C23F6"/>
    <w:rsid w:val="001C2537"/>
    <w:rsid w:val="001C25F4"/>
    <w:rsid w:val="001C2C48"/>
    <w:rsid w:val="001C2C7E"/>
    <w:rsid w:val="001C30BC"/>
    <w:rsid w:val="001C31EF"/>
    <w:rsid w:val="001C36DC"/>
    <w:rsid w:val="001C36FB"/>
    <w:rsid w:val="001C38AC"/>
    <w:rsid w:val="001C4329"/>
    <w:rsid w:val="001C468C"/>
    <w:rsid w:val="001C4838"/>
    <w:rsid w:val="001C4979"/>
    <w:rsid w:val="001C4995"/>
    <w:rsid w:val="001C4BD8"/>
    <w:rsid w:val="001C53A3"/>
    <w:rsid w:val="001C55B7"/>
    <w:rsid w:val="001C571F"/>
    <w:rsid w:val="001C57E8"/>
    <w:rsid w:val="001C5F42"/>
    <w:rsid w:val="001C5FE7"/>
    <w:rsid w:val="001C61D8"/>
    <w:rsid w:val="001C6424"/>
    <w:rsid w:val="001C68A0"/>
    <w:rsid w:val="001C6B36"/>
    <w:rsid w:val="001C6D74"/>
    <w:rsid w:val="001C6EE7"/>
    <w:rsid w:val="001C7050"/>
    <w:rsid w:val="001C71CA"/>
    <w:rsid w:val="001C75D6"/>
    <w:rsid w:val="001C79D9"/>
    <w:rsid w:val="001C7BBA"/>
    <w:rsid w:val="001C7BF5"/>
    <w:rsid w:val="001C7D08"/>
    <w:rsid w:val="001C7FD1"/>
    <w:rsid w:val="001C7FD9"/>
    <w:rsid w:val="001D0542"/>
    <w:rsid w:val="001D17A5"/>
    <w:rsid w:val="001D1968"/>
    <w:rsid w:val="001D1B12"/>
    <w:rsid w:val="001D1D7E"/>
    <w:rsid w:val="001D1F56"/>
    <w:rsid w:val="001D245E"/>
    <w:rsid w:val="001D2A4C"/>
    <w:rsid w:val="001D300B"/>
    <w:rsid w:val="001D3626"/>
    <w:rsid w:val="001D388C"/>
    <w:rsid w:val="001D3C61"/>
    <w:rsid w:val="001D3E82"/>
    <w:rsid w:val="001D3EEA"/>
    <w:rsid w:val="001D3F83"/>
    <w:rsid w:val="001D4133"/>
    <w:rsid w:val="001D4156"/>
    <w:rsid w:val="001D42AA"/>
    <w:rsid w:val="001D4953"/>
    <w:rsid w:val="001D4B30"/>
    <w:rsid w:val="001D4D22"/>
    <w:rsid w:val="001D503D"/>
    <w:rsid w:val="001D53D6"/>
    <w:rsid w:val="001D54DF"/>
    <w:rsid w:val="001D5A72"/>
    <w:rsid w:val="001D5BB6"/>
    <w:rsid w:val="001D623D"/>
    <w:rsid w:val="001D6522"/>
    <w:rsid w:val="001D69C8"/>
    <w:rsid w:val="001D73C0"/>
    <w:rsid w:val="001D73CA"/>
    <w:rsid w:val="001D73ED"/>
    <w:rsid w:val="001D7AE3"/>
    <w:rsid w:val="001D7EE2"/>
    <w:rsid w:val="001E007C"/>
    <w:rsid w:val="001E0236"/>
    <w:rsid w:val="001E0BE8"/>
    <w:rsid w:val="001E0E0F"/>
    <w:rsid w:val="001E10B4"/>
    <w:rsid w:val="001E11D8"/>
    <w:rsid w:val="001E1B72"/>
    <w:rsid w:val="001E1D30"/>
    <w:rsid w:val="001E1D87"/>
    <w:rsid w:val="001E1F7B"/>
    <w:rsid w:val="001E20E5"/>
    <w:rsid w:val="001E2269"/>
    <w:rsid w:val="001E24E8"/>
    <w:rsid w:val="001E26D2"/>
    <w:rsid w:val="001E2781"/>
    <w:rsid w:val="001E2979"/>
    <w:rsid w:val="001E29E6"/>
    <w:rsid w:val="001E30BE"/>
    <w:rsid w:val="001E3190"/>
    <w:rsid w:val="001E36C5"/>
    <w:rsid w:val="001E3A0E"/>
    <w:rsid w:val="001E3B11"/>
    <w:rsid w:val="001E40E6"/>
    <w:rsid w:val="001E44A9"/>
    <w:rsid w:val="001E4503"/>
    <w:rsid w:val="001E45AC"/>
    <w:rsid w:val="001E4E20"/>
    <w:rsid w:val="001E4E86"/>
    <w:rsid w:val="001E4EC2"/>
    <w:rsid w:val="001E4F46"/>
    <w:rsid w:val="001E4FA9"/>
    <w:rsid w:val="001E5105"/>
    <w:rsid w:val="001E5A90"/>
    <w:rsid w:val="001E5C50"/>
    <w:rsid w:val="001E5F15"/>
    <w:rsid w:val="001E6EC4"/>
    <w:rsid w:val="001E6FE4"/>
    <w:rsid w:val="001E702A"/>
    <w:rsid w:val="001E7418"/>
    <w:rsid w:val="001E74CF"/>
    <w:rsid w:val="001E77CF"/>
    <w:rsid w:val="001E790C"/>
    <w:rsid w:val="001F043B"/>
    <w:rsid w:val="001F08BB"/>
    <w:rsid w:val="001F132B"/>
    <w:rsid w:val="001F1540"/>
    <w:rsid w:val="001F1C3E"/>
    <w:rsid w:val="001F21CE"/>
    <w:rsid w:val="001F2791"/>
    <w:rsid w:val="001F296E"/>
    <w:rsid w:val="001F2993"/>
    <w:rsid w:val="001F2B33"/>
    <w:rsid w:val="001F342E"/>
    <w:rsid w:val="001F35D5"/>
    <w:rsid w:val="001F41AC"/>
    <w:rsid w:val="001F4325"/>
    <w:rsid w:val="001F4945"/>
    <w:rsid w:val="001F4992"/>
    <w:rsid w:val="001F49B6"/>
    <w:rsid w:val="001F4A10"/>
    <w:rsid w:val="001F4B75"/>
    <w:rsid w:val="001F5162"/>
    <w:rsid w:val="001F5370"/>
    <w:rsid w:val="001F54BD"/>
    <w:rsid w:val="001F561C"/>
    <w:rsid w:val="001F5932"/>
    <w:rsid w:val="001F5AF0"/>
    <w:rsid w:val="001F5CF8"/>
    <w:rsid w:val="001F661C"/>
    <w:rsid w:val="001F67AF"/>
    <w:rsid w:val="001F6D45"/>
    <w:rsid w:val="001F7408"/>
    <w:rsid w:val="001F7745"/>
    <w:rsid w:val="0020021F"/>
    <w:rsid w:val="002003C9"/>
    <w:rsid w:val="00200B49"/>
    <w:rsid w:val="00200DDE"/>
    <w:rsid w:val="002010EC"/>
    <w:rsid w:val="00201154"/>
    <w:rsid w:val="0020140A"/>
    <w:rsid w:val="00201D0F"/>
    <w:rsid w:val="00202538"/>
    <w:rsid w:val="002025E9"/>
    <w:rsid w:val="0020269E"/>
    <w:rsid w:val="00202D19"/>
    <w:rsid w:val="00202DAA"/>
    <w:rsid w:val="00202FF2"/>
    <w:rsid w:val="0020332E"/>
    <w:rsid w:val="00203588"/>
    <w:rsid w:val="002038FE"/>
    <w:rsid w:val="00203D97"/>
    <w:rsid w:val="00203EBE"/>
    <w:rsid w:val="00204133"/>
    <w:rsid w:val="0020418F"/>
    <w:rsid w:val="002043D4"/>
    <w:rsid w:val="002043ED"/>
    <w:rsid w:val="002044D9"/>
    <w:rsid w:val="002044DD"/>
    <w:rsid w:val="0020462A"/>
    <w:rsid w:val="00204E90"/>
    <w:rsid w:val="002050BF"/>
    <w:rsid w:val="002050E3"/>
    <w:rsid w:val="00205104"/>
    <w:rsid w:val="002053C0"/>
    <w:rsid w:val="0020576C"/>
    <w:rsid w:val="0020649F"/>
    <w:rsid w:val="0020669C"/>
    <w:rsid w:val="002068FC"/>
    <w:rsid w:val="00206A6D"/>
    <w:rsid w:val="00206DF8"/>
    <w:rsid w:val="00207A80"/>
    <w:rsid w:val="002101C1"/>
    <w:rsid w:val="00210848"/>
    <w:rsid w:val="0021181C"/>
    <w:rsid w:val="00211893"/>
    <w:rsid w:val="00211F73"/>
    <w:rsid w:val="0021231F"/>
    <w:rsid w:val="002131AA"/>
    <w:rsid w:val="0021330B"/>
    <w:rsid w:val="0021367A"/>
    <w:rsid w:val="00213799"/>
    <w:rsid w:val="00213E87"/>
    <w:rsid w:val="00214155"/>
    <w:rsid w:val="002145B5"/>
    <w:rsid w:val="002146BA"/>
    <w:rsid w:val="00214730"/>
    <w:rsid w:val="00214AF0"/>
    <w:rsid w:val="00214C6F"/>
    <w:rsid w:val="0021514F"/>
    <w:rsid w:val="002156DB"/>
    <w:rsid w:val="002159B1"/>
    <w:rsid w:val="00215C1F"/>
    <w:rsid w:val="0021619D"/>
    <w:rsid w:val="0021628F"/>
    <w:rsid w:val="00216363"/>
    <w:rsid w:val="002163EC"/>
    <w:rsid w:val="002166FA"/>
    <w:rsid w:val="002168CB"/>
    <w:rsid w:val="00216C7F"/>
    <w:rsid w:val="00217143"/>
    <w:rsid w:val="002173B7"/>
    <w:rsid w:val="0021778F"/>
    <w:rsid w:val="002179AE"/>
    <w:rsid w:val="00217B1B"/>
    <w:rsid w:val="00217D08"/>
    <w:rsid w:val="002200D4"/>
    <w:rsid w:val="00220251"/>
    <w:rsid w:val="00220948"/>
    <w:rsid w:val="00220D42"/>
    <w:rsid w:val="00220D73"/>
    <w:rsid w:val="00220E67"/>
    <w:rsid w:val="0022102A"/>
    <w:rsid w:val="002210D6"/>
    <w:rsid w:val="002211E6"/>
    <w:rsid w:val="002212AF"/>
    <w:rsid w:val="00221603"/>
    <w:rsid w:val="0022180B"/>
    <w:rsid w:val="00221961"/>
    <w:rsid w:val="00221A02"/>
    <w:rsid w:val="00221AB9"/>
    <w:rsid w:val="00221E1C"/>
    <w:rsid w:val="00221F59"/>
    <w:rsid w:val="00221FBD"/>
    <w:rsid w:val="0022209C"/>
    <w:rsid w:val="00222365"/>
    <w:rsid w:val="00222DB7"/>
    <w:rsid w:val="00222DC0"/>
    <w:rsid w:val="002234BE"/>
    <w:rsid w:val="002237E8"/>
    <w:rsid w:val="002237FD"/>
    <w:rsid w:val="00223829"/>
    <w:rsid w:val="00223A0D"/>
    <w:rsid w:val="00223C8E"/>
    <w:rsid w:val="00224776"/>
    <w:rsid w:val="00224BC2"/>
    <w:rsid w:val="00224FFD"/>
    <w:rsid w:val="0022506C"/>
    <w:rsid w:val="002250DC"/>
    <w:rsid w:val="00225686"/>
    <w:rsid w:val="002258A1"/>
    <w:rsid w:val="00225CBA"/>
    <w:rsid w:val="00225D00"/>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E58"/>
    <w:rsid w:val="00231F62"/>
    <w:rsid w:val="0023209D"/>
    <w:rsid w:val="00232122"/>
    <w:rsid w:val="002327A8"/>
    <w:rsid w:val="00232895"/>
    <w:rsid w:val="00232964"/>
    <w:rsid w:val="00232A58"/>
    <w:rsid w:val="00232BB9"/>
    <w:rsid w:val="00232EC9"/>
    <w:rsid w:val="00232F58"/>
    <w:rsid w:val="0023324C"/>
    <w:rsid w:val="00233416"/>
    <w:rsid w:val="00233505"/>
    <w:rsid w:val="00233614"/>
    <w:rsid w:val="002336BF"/>
    <w:rsid w:val="0023371E"/>
    <w:rsid w:val="00233868"/>
    <w:rsid w:val="00233B0D"/>
    <w:rsid w:val="00233BD9"/>
    <w:rsid w:val="00233C46"/>
    <w:rsid w:val="00233C4C"/>
    <w:rsid w:val="00233D94"/>
    <w:rsid w:val="00233FFE"/>
    <w:rsid w:val="002347D6"/>
    <w:rsid w:val="002347D8"/>
    <w:rsid w:val="00234A6F"/>
    <w:rsid w:val="00234AC1"/>
    <w:rsid w:val="00234D20"/>
    <w:rsid w:val="00234F6A"/>
    <w:rsid w:val="0023572C"/>
    <w:rsid w:val="00235D94"/>
    <w:rsid w:val="00235DD1"/>
    <w:rsid w:val="002361DC"/>
    <w:rsid w:val="00236236"/>
    <w:rsid w:val="002362F9"/>
    <w:rsid w:val="00237381"/>
    <w:rsid w:val="0023743C"/>
    <w:rsid w:val="00237785"/>
    <w:rsid w:val="00237B1A"/>
    <w:rsid w:val="00237CBD"/>
    <w:rsid w:val="00237DBE"/>
    <w:rsid w:val="002402D7"/>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2FB"/>
    <w:rsid w:val="0024747B"/>
    <w:rsid w:val="0024759B"/>
    <w:rsid w:val="002475E0"/>
    <w:rsid w:val="00247A31"/>
    <w:rsid w:val="00250046"/>
    <w:rsid w:val="0025054F"/>
    <w:rsid w:val="0025079F"/>
    <w:rsid w:val="002508FA"/>
    <w:rsid w:val="00250BA5"/>
    <w:rsid w:val="00251589"/>
    <w:rsid w:val="002516C8"/>
    <w:rsid w:val="00251855"/>
    <w:rsid w:val="00251B4F"/>
    <w:rsid w:val="00251ED8"/>
    <w:rsid w:val="00251F83"/>
    <w:rsid w:val="0025210A"/>
    <w:rsid w:val="002522B8"/>
    <w:rsid w:val="002522E0"/>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819"/>
    <w:rsid w:val="002569D5"/>
    <w:rsid w:val="00256A58"/>
    <w:rsid w:val="00256AAB"/>
    <w:rsid w:val="00256C0A"/>
    <w:rsid w:val="00256F0F"/>
    <w:rsid w:val="00257388"/>
    <w:rsid w:val="00257654"/>
    <w:rsid w:val="002576AC"/>
    <w:rsid w:val="0025782C"/>
    <w:rsid w:val="0025788F"/>
    <w:rsid w:val="00257B6B"/>
    <w:rsid w:val="00257C75"/>
    <w:rsid w:val="00257EF0"/>
    <w:rsid w:val="00260984"/>
    <w:rsid w:val="002614CF"/>
    <w:rsid w:val="002615B1"/>
    <w:rsid w:val="0026183D"/>
    <w:rsid w:val="00261A4A"/>
    <w:rsid w:val="00261A79"/>
    <w:rsid w:val="00261AD8"/>
    <w:rsid w:val="00261CF3"/>
    <w:rsid w:val="00262027"/>
    <w:rsid w:val="002623CF"/>
    <w:rsid w:val="002627A8"/>
    <w:rsid w:val="002628B3"/>
    <w:rsid w:val="00263687"/>
    <w:rsid w:val="002636DF"/>
    <w:rsid w:val="002639D3"/>
    <w:rsid w:val="00263B4D"/>
    <w:rsid w:val="0026460A"/>
    <w:rsid w:val="00264976"/>
    <w:rsid w:val="002657D7"/>
    <w:rsid w:val="00265F21"/>
    <w:rsid w:val="00266344"/>
    <w:rsid w:val="00266A0A"/>
    <w:rsid w:val="00266BD0"/>
    <w:rsid w:val="0026718F"/>
    <w:rsid w:val="0026724E"/>
    <w:rsid w:val="00267485"/>
    <w:rsid w:val="00267605"/>
    <w:rsid w:val="00267644"/>
    <w:rsid w:val="00267BE2"/>
    <w:rsid w:val="00267F9F"/>
    <w:rsid w:val="00270496"/>
    <w:rsid w:val="002707C7"/>
    <w:rsid w:val="002709D3"/>
    <w:rsid w:val="0027194A"/>
    <w:rsid w:val="00271C67"/>
    <w:rsid w:val="00271CA4"/>
    <w:rsid w:val="00271F1C"/>
    <w:rsid w:val="0027224F"/>
    <w:rsid w:val="002724F0"/>
    <w:rsid w:val="0027253B"/>
    <w:rsid w:val="00272859"/>
    <w:rsid w:val="002728B9"/>
    <w:rsid w:val="00272D8A"/>
    <w:rsid w:val="00272EB1"/>
    <w:rsid w:val="00273324"/>
    <w:rsid w:val="002736C1"/>
    <w:rsid w:val="00273821"/>
    <w:rsid w:val="002744BA"/>
    <w:rsid w:val="00274621"/>
    <w:rsid w:val="00274930"/>
    <w:rsid w:val="002749FE"/>
    <w:rsid w:val="00274E73"/>
    <w:rsid w:val="00275612"/>
    <w:rsid w:val="0027561D"/>
    <w:rsid w:val="002757F5"/>
    <w:rsid w:val="00275EBC"/>
    <w:rsid w:val="00276437"/>
    <w:rsid w:val="00276B4F"/>
    <w:rsid w:val="00276DA9"/>
    <w:rsid w:val="00276E36"/>
    <w:rsid w:val="002775C9"/>
    <w:rsid w:val="00277807"/>
    <w:rsid w:val="00277A05"/>
    <w:rsid w:val="00277C01"/>
    <w:rsid w:val="00277E85"/>
    <w:rsid w:val="002802C4"/>
    <w:rsid w:val="002802DE"/>
    <w:rsid w:val="00280514"/>
    <w:rsid w:val="00280AD8"/>
    <w:rsid w:val="002812EE"/>
    <w:rsid w:val="0028144F"/>
    <w:rsid w:val="0028147E"/>
    <w:rsid w:val="0028173C"/>
    <w:rsid w:val="002819F6"/>
    <w:rsid w:val="00282115"/>
    <w:rsid w:val="002827AA"/>
    <w:rsid w:val="002831F1"/>
    <w:rsid w:val="002835AE"/>
    <w:rsid w:val="00283F1A"/>
    <w:rsid w:val="0028400D"/>
    <w:rsid w:val="0028447A"/>
    <w:rsid w:val="0028460F"/>
    <w:rsid w:val="00284656"/>
    <w:rsid w:val="002846AF"/>
    <w:rsid w:val="00284A25"/>
    <w:rsid w:val="00284ADB"/>
    <w:rsid w:val="00284E47"/>
    <w:rsid w:val="00285578"/>
    <w:rsid w:val="00285F4C"/>
    <w:rsid w:val="0028607A"/>
    <w:rsid w:val="002861FE"/>
    <w:rsid w:val="002861FF"/>
    <w:rsid w:val="00286BC6"/>
    <w:rsid w:val="00286BDE"/>
    <w:rsid w:val="00286CD1"/>
    <w:rsid w:val="00287129"/>
    <w:rsid w:val="002901F5"/>
    <w:rsid w:val="002904EE"/>
    <w:rsid w:val="00290667"/>
    <w:rsid w:val="002906C5"/>
    <w:rsid w:val="00290A1B"/>
    <w:rsid w:val="00290A46"/>
    <w:rsid w:val="00290AFD"/>
    <w:rsid w:val="00290C4C"/>
    <w:rsid w:val="00290C90"/>
    <w:rsid w:val="002912C2"/>
    <w:rsid w:val="0029133E"/>
    <w:rsid w:val="002913BA"/>
    <w:rsid w:val="002919F2"/>
    <w:rsid w:val="00291A4C"/>
    <w:rsid w:val="00291A72"/>
    <w:rsid w:val="00291CE8"/>
    <w:rsid w:val="00292574"/>
    <w:rsid w:val="002927CC"/>
    <w:rsid w:val="00292E13"/>
    <w:rsid w:val="002931B7"/>
    <w:rsid w:val="00293808"/>
    <w:rsid w:val="002938F5"/>
    <w:rsid w:val="00293B30"/>
    <w:rsid w:val="00293BE0"/>
    <w:rsid w:val="002942B6"/>
    <w:rsid w:val="00294C13"/>
    <w:rsid w:val="0029518E"/>
    <w:rsid w:val="00295210"/>
    <w:rsid w:val="002958E7"/>
    <w:rsid w:val="00295AB9"/>
    <w:rsid w:val="00295C62"/>
    <w:rsid w:val="00295D03"/>
    <w:rsid w:val="00295D92"/>
    <w:rsid w:val="00295E2F"/>
    <w:rsid w:val="00296011"/>
    <w:rsid w:val="0029661D"/>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1949"/>
    <w:rsid w:val="002A2194"/>
    <w:rsid w:val="002A24BE"/>
    <w:rsid w:val="002A2BBC"/>
    <w:rsid w:val="002A2F32"/>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D95"/>
    <w:rsid w:val="002A6EEA"/>
    <w:rsid w:val="002A6F5E"/>
    <w:rsid w:val="002A6F7E"/>
    <w:rsid w:val="002A706E"/>
    <w:rsid w:val="002A7895"/>
    <w:rsid w:val="002A78A8"/>
    <w:rsid w:val="002A7C51"/>
    <w:rsid w:val="002A7D87"/>
    <w:rsid w:val="002A7E60"/>
    <w:rsid w:val="002B0C15"/>
    <w:rsid w:val="002B0E43"/>
    <w:rsid w:val="002B114F"/>
    <w:rsid w:val="002B163F"/>
    <w:rsid w:val="002B172B"/>
    <w:rsid w:val="002B173D"/>
    <w:rsid w:val="002B1E97"/>
    <w:rsid w:val="002B28E8"/>
    <w:rsid w:val="002B296C"/>
    <w:rsid w:val="002B31B9"/>
    <w:rsid w:val="002B440E"/>
    <w:rsid w:val="002B4616"/>
    <w:rsid w:val="002B4808"/>
    <w:rsid w:val="002B4C71"/>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5B2"/>
    <w:rsid w:val="002C2907"/>
    <w:rsid w:val="002C299A"/>
    <w:rsid w:val="002C2F86"/>
    <w:rsid w:val="002C3353"/>
    <w:rsid w:val="002C34F5"/>
    <w:rsid w:val="002C3773"/>
    <w:rsid w:val="002C3BC1"/>
    <w:rsid w:val="002C3E2D"/>
    <w:rsid w:val="002C420D"/>
    <w:rsid w:val="002C4219"/>
    <w:rsid w:val="002C4239"/>
    <w:rsid w:val="002C47ED"/>
    <w:rsid w:val="002C4E7F"/>
    <w:rsid w:val="002C512B"/>
    <w:rsid w:val="002C51B4"/>
    <w:rsid w:val="002C5A94"/>
    <w:rsid w:val="002C5B2A"/>
    <w:rsid w:val="002C5FC9"/>
    <w:rsid w:val="002C6357"/>
    <w:rsid w:val="002C652B"/>
    <w:rsid w:val="002C6EEF"/>
    <w:rsid w:val="002C6F1A"/>
    <w:rsid w:val="002C7C64"/>
    <w:rsid w:val="002C7CFA"/>
    <w:rsid w:val="002C7D8A"/>
    <w:rsid w:val="002D0071"/>
    <w:rsid w:val="002D06CA"/>
    <w:rsid w:val="002D0B78"/>
    <w:rsid w:val="002D0C1D"/>
    <w:rsid w:val="002D1088"/>
    <w:rsid w:val="002D153A"/>
    <w:rsid w:val="002D1E1E"/>
    <w:rsid w:val="002D1EDD"/>
    <w:rsid w:val="002D20AC"/>
    <w:rsid w:val="002D2171"/>
    <w:rsid w:val="002D250E"/>
    <w:rsid w:val="002D2B4B"/>
    <w:rsid w:val="002D2B75"/>
    <w:rsid w:val="002D2C91"/>
    <w:rsid w:val="002D2CB8"/>
    <w:rsid w:val="002D2EAD"/>
    <w:rsid w:val="002D30E8"/>
    <w:rsid w:val="002D32D5"/>
    <w:rsid w:val="002D3334"/>
    <w:rsid w:val="002D3522"/>
    <w:rsid w:val="002D3B45"/>
    <w:rsid w:val="002D3CDA"/>
    <w:rsid w:val="002D3D3B"/>
    <w:rsid w:val="002D44C3"/>
    <w:rsid w:val="002D4727"/>
    <w:rsid w:val="002D4E57"/>
    <w:rsid w:val="002D603D"/>
    <w:rsid w:val="002D612B"/>
    <w:rsid w:val="002D64B3"/>
    <w:rsid w:val="002D65F0"/>
    <w:rsid w:val="002D670A"/>
    <w:rsid w:val="002D676D"/>
    <w:rsid w:val="002D6802"/>
    <w:rsid w:val="002D6881"/>
    <w:rsid w:val="002D6C6B"/>
    <w:rsid w:val="002D6F8B"/>
    <w:rsid w:val="002D71DC"/>
    <w:rsid w:val="002D732A"/>
    <w:rsid w:val="002D7461"/>
    <w:rsid w:val="002E00CB"/>
    <w:rsid w:val="002E0127"/>
    <w:rsid w:val="002E02F5"/>
    <w:rsid w:val="002E03EF"/>
    <w:rsid w:val="002E0697"/>
    <w:rsid w:val="002E0982"/>
    <w:rsid w:val="002E0AE2"/>
    <w:rsid w:val="002E0E36"/>
    <w:rsid w:val="002E0FAF"/>
    <w:rsid w:val="002E0FBC"/>
    <w:rsid w:val="002E1244"/>
    <w:rsid w:val="002E1605"/>
    <w:rsid w:val="002E1CD5"/>
    <w:rsid w:val="002E1EAB"/>
    <w:rsid w:val="002E2202"/>
    <w:rsid w:val="002E223A"/>
    <w:rsid w:val="002E2275"/>
    <w:rsid w:val="002E290B"/>
    <w:rsid w:val="002E291D"/>
    <w:rsid w:val="002E298E"/>
    <w:rsid w:val="002E2B01"/>
    <w:rsid w:val="002E2CCC"/>
    <w:rsid w:val="002E3063"/>
    <w:rsid w:val="002E4175"/>
    <w:rsid w:val="002E4292"/>
    <w:rsid w:val="002E429F"/>
    <w:rsid w:val="002E492A"/>
    <w:rsid w:val="002E4970"/>
    <w:rsid w:val="002E4F9B"/>
    <w:rsid w:val="002E505F"/>
    <w:rsid w:val="002E50F9"/>
    <w:rsid w:val="002E5664"/>
    <w:rsid w:val="002E5834"/>
    <w:rsid w:val="002E58CB"/>
    <w:rsid w:val="002E61AD"/>
    <w:rsid w:val="002E63B5"/>
    <w:rsid w:val="002E6D74"/>
    <w:rsid w:val="002E6FE2"/>
    <w:rsid w:val="002E7375"/>
    <w:rsid w:val="002E7544"/>
    <w:rsid w:val="002E76B9"/>
    <w:rsid w:val="002E76DC"/>
    <w:rsid w:val="002E794D"/>
    <w:rsid w:val="002E7A9E"/>
    <w:rsid w:val="002E7AF5"/>
    <w:rsid w:val="002E7C76"/>
    <w:rsid w:val="002E7F7E"/>
    <w:rsid w:val="002E7F85"/>
    <w:rsid w:val="002F0016"/>
    <w:rsid w:val="002F043A"/>
    <w:rsid w:val="002F06D3"/>
    <w:rsid w:val="002F079A"/>
    <w:rsid w:val="002F0AAE"/>
    <w:rsid w:val="002F0B38"/>
    <w:rsid w:val="002F0BAE"/>
    <w:rsid w:val="002F0D14"/>
    <w:rsid w:val="002F0E22"/>
    <w:rsid w:val="002F0E7D"/>
    <w:rsid w:val="002F1228"/>
    <w:rsid w:val="002F18CE"/>
    <w:rsid w:val="002F2088"/>
    <w:rsid w:val="002F230B"/>
    <w:rsid w:val="002F240E"/>
    <w:rsid w:val="002F277A"/>
    <w:rsid w:val="002F3153"/>
    <w:rsid w:val="002F3310"/>
    <w:rsid w:val="002F35AC"/>
    <w:rsid w:val="002F3BE2"/>
    <w:rsid w:val="002F3ED7"/>
    <w:rsid w:val="002F3F3E"/>
    <w:rsid w:val="002F418D"/>
    <w:rsid w:val="002F443F"/>
    <w:rsid w:val="002F46B3"/>
    <w:rsid w:val="002F4C63"/>
    <w:rsid w:val="002F5173"/>
    <w:rsid w:val="002F536E"/>
    <w:rsid w:val="002F55A5"/>
    <w:rsid w:val="002F571D"/>
    <w:rsid w:val="002F5AD2"/>
    <w:rsid w:val="002F61D4"/>
    <w:rsid w:val="002F6459"/>
    <w:rsid w:val="002F6C94"/>
    <w:rsid w:val="002F6E7C"/>
    <w:rsid w:val="002F7BCD"/>
    <w:rsid w:val="002F7D3A"/>
    <w:rsid w:val="003007CB"/>
    <w:rsid w:val="003009AD"/>
    <w:rsid w:val="00300DF8"/>
    <w:rsid w:val="00301515"/>
    <w:rsid w:val="0030167B"/>
    <w:rsid w:val="00301AA6"/>
    <w:rsid w:val="00301AD2"/>
    <w:rsid w:val="00301C6E"/>
    <w:rsid w:val="0030272C"/>
    <w:rsid w:val="00303272"/>
    <w:rsid w:val="003032A1"/>
    <w:rsid w:val="00303A99"/>
    <w:rsid w:val="00303C8C"/>
    <w:rsid w:val="00303E74"/>
    <w:rsid w:val="00303EF5"/>
    <w:rsid w:val="00303EF8"/>
    <w:rsid w:val="00304295"/>
    <w:rsid w:val="003047DE"/>
    <w:rsid w:val="00304BBC"/>
    <w:rsid w:val="0030504C"/>
    <w:rsid w:val="0030560B"/>
    <w:rsid w:val="003057D0"/>
    <w:rsid w:val="003058BD"/>
    <w:rsid w:val="003059AD"/>
    <w:rsid w:val="00305E57"/>
    <w:rsid w:val="00306190"/>
    <w:rsid w:val="0030626E"/>
    <w:rsid w:val="00306289"/>
    <w:rsid w:val="00306323"/>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DC3"/>
    <w:rsid w:val="00311F8D"/>
    <w:rsid w:val="00312222"/>
    <w:rsid w:val="00312597"/>
    <w:rsid w:val="00312A8C"/>
    <w:rsid w:val="003132B3"/>
    <w:rsid w:val="003139DB"/>
    <w:rsid w:val="00313D77"/>
    <w:rsid w:val="0031403D"/>
    <w:rsid w:val="0031424B"/>
    <w:rsid w:val="0031437F"/>
    <w:rsid w:val="0031472E"/>
    <w:rsid w:val="003148B5"/>
    <w:rsid w:val="0031499B"/>
    <w:rsid w:val="003156EA"/>
    <w:rsid w:val="0031589F"/>
    <w:rsid w:val="0031593C"/>
    <w:rsid w:val="00315DB4"/>
    <w:rsid w:val="0031609D"/>
    <w:rsid w:val="0031617F"/>
    <w:rsid w:val="00316EA0"/>
    <w:rsid w:val="00317318"/>
    <w:rsid w:val="003174EB"/>
    <w:rsid w:val="003178C2"/>
    <w:rsid w:val="00317BD2"/>
    <w:rsid w:val="00317CA0"/>
    <w:rsid w:val="00317CAA"/>
    <w:rsid w:val="00317E3D"/>
    <w:rsid w:val="0032026C"/>
    <w:rsid w:val="003203EC"/>
    <w:rsid w:val="003206F1"/>
    <w:rsid w:val="00320A38"/>
    <w:rsid w:val="00320BD9"/>
    <w:rsid w:val="00320D35"/>
    <w:rsid w:val="00321751"/>
    <w:rsid w:val="00321BCA"/>
    <w:rsid w:val="00321D11"/>
    <w:rsid w:val="00321F51"/>
    <w:rsid w:val="00322147"/>
    <w:rsid w:val="00322315"/>
    <w:rsid w:val="00322370"/>
    <w:rsid w:val="003229B4"/>
    <w:rsid w:val="00322C50"/>
    <w:rsid w:val="00323366"/>
    <w:rsid w:val="003233A4"/>
    <w:rsid w:val="0032373F"/>
    <w:rsid w:val="0032390D"/>
    <w:rsid w:val="00323D40"/>
    <w:rsid w:val="00323FE2"/>
    <w:rsid w:val="0032429C"/>
    <w:rsid w:val="0032462A"/>
    <w:rsid w:val="00324768"/>
    <w:rsid w:val="00324AAF"/>
    <w:rsid w:val="00324C21"/>
    <w:rsid w:val="0032532B"/>
    <w:rsid w:val="0032597F"/>
    <w:rsid w:val="003263D3"/>
    <w:rsid w:val="00326695"/>
    <w:rsid w:val="00326A20"/>
    <w:rsid w:val="00327181"/>
    <w:rsid w:val="00327183"/>
    <w:rsid w:val="003273CA"/>
    <w:rsid w:val="003275CE"/>
    <w:rsid w:val="003275D8"/>
    <w:rsid w:val="00327C06"/>
    <w:rsid w:val="00327D02"/>
    <w:rsid w:val="00330240"/>
    <w:rsid w:val="00330407"/>
    <w:rsid w:val="003308BD"/>
    <w:rsid w:val="00330A53"/>
    <w:rsid w:val="00330C07"/>
    <w:rsid w:val="00331056"/>
    <w:rsid w:val="003314AB"/>
    <w:rsid w:val="00331615"/>
    <w:rsid w:val="003316A3"/>
    <w:rsid w:val="00331730"/>
    <w:rsid w:val="003318A4"/>
    <w:rsid w:val="00331CD8"/>
    <w:rsid w:val="003324DB"/>
    <w:rsid w:val="00332502"/>
    <w:rsid w:val="003325D3"/>
    <w:rsid w:val="00332C2A"/>
    <w:rsid w:val="00332CF5"/>
    <w:rsid w:val="00332E7F"/>
    <w:rsid w:val="00332F2B"/>
    <w:rsid w:val="00332FE8"/>
    <w:rsid w:val="003330BF"/>
    <w:rsid w:val="0033313F"/>
    <w:rsid w:val="00333963"/>
    <w:rsid w:val="00333A0A"/>
    <w:rsid w:val="00334309"/>
    <w:rsid w:val="003343CA"/>
    <w:rsid w:val="00334774"/>
    <w:rsid w:val="00334824"/>
    <w:rsid w:val="00334B91"/>
    <w:rsid w:val="00334E4C"/>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0F8"/>
    <w:rsid w:val="0034020A"/>
    <w:rsid w:val="0034043F"/>
    <w:rsid w:val="00340491"/>
    <w:rsid w:val="00340D56"/>
    <w:rsid w:val="00340FA0"/>
    <w:rsid w:val="00341194"/>
    <w:rsid w:val="003411FB"/>
    <w:rsid w:val="00341411"/>
    <w:rsid w:val="00341541"/>
    <w:rsid w:val="003417AC"/>
    <w:rsid w:val="00341D58"/>
    <w:rsid w:val="003429CE"/>
    <w:rsid w:val="00342EFA"/>
    <w:rsid w:val="00343740"/>
    <w:rsid w:val="0034383E"/>
    <w:rsid w:val="00343970"/>
    <w:rsid w:val="00343ADA"/>
    <w:rsid w:val="00344055"/>
    <w:rsid w:val="0034469B"/>
    <w:rsid w:val="00344A91"/>
    <w:rsid w:val="00344D16"/>
    <w:rsid w:val="00345110"/>
    <w:rsid w:val="00345130"/>
    <w:rsid w:val="00345537"/>
    <w:rsid w:val="00345622"/>
    <w:rsid w:val="00345CA1"/>
    <w:rsid w:val="0034601F"/>
    <w:rsid w:val="003465DF"/>
    <w:rsid w:val="003465F2"/>
    <w:rsid w:val="003467DA"/>
    <w:rsid w:val="00346871"/>
    <w:rsid w:val="00346AD2"/>
    <w:rsid w:val="00346F30"/>
    <w:rsid w:val="003471ED"/>
    <w:rsid w:val="00347668"/>
    <w:rsid w:val="0035009B"/>
    <w:rsid w:val="00350137"/>
    <w:rsid w:val="0035039F"/>
    <w:rsid w:val="00350679"/>
    <w:rsid w:val="00350777"/>
    <w:rsid w:val="003508D6"/>
    <w:rsid w:val="003509FC"/>
    <w:rsid w:val="003518FE"/>
    <w:rsid w:val="00351DA0"/>
    <w:rsid w:val="00351E84"/>
    <w:rsid w:val="003521AD"/>
    <w:rsid w:val="00352202"/>
    <w:rsid w:val="0035232B"/>
    <w:rsid w:val="0035232F"/>
    <w:rsid w:val="003523B2"/>
    <w:rsid w:val="0035299E"/>
    <w:rsid w:val="00352AC9"/>
    <w:rsid w:val="00352CD3"/>
    <w:rsid w:val="00352F7A"/>
    <w:rsid w:val="00352FD4"/>
    <w:rsid w:val="00353345"/>
    <w:rsid w:val="00353592"/>
    <w:rsid w:val="003538CA"/>
    <w:rsid w:val="00353CA0"/>
    <w:rsid w:val="00353E42"/>
    <w:rsid w:val="003542D8"/>
    <w:rsid w:val="003545D2"/>
    <w:rsid w:val="00354DAA"/>
    <w:rsid w:val="00354EEE"/>
    <w:rsid w:val="003552A9"/>
    <w:rsid w:val="00355E52"/>
    <w:rsid w:val="00356088"/>
    <w:rsid w:val="00356321"/>
    <w:rsid w:val="00356A05"/>
    <w:rsid w:val="00356C91"/>
    <w:rsid w:val="00356F5D"/>
    <w:rsid w:val="00356F6F"/>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09F"/>
    <w:rsid w:val="00366438"/>
    <w:rsid w:val="0036699C"/>
    <w:rsid w:val="00366ABD"/>
    <w:rsid w:val="0036745F"/>
    <w:rsid w:val="003674FA"/>
    <w:rsid w:val="00367696"/>
    <w:rsid w:val="0036784D"/>
    <w:rsid w:val="00367A84"/>
    <w:rsid w:val="003705B6"/>
    <w:rsid w:val="003705C2"/>
    <w:rsid w:val="0037065E"/>
    <w:rsid w:val="00370808"/>
    <w:rsid w:val="0037150B"/>
    <w:rsid w:val="00371B87"/>
    <w:rsid w:val="00371BA6"/>
    <w:rsid w:val="00371D64"/>
    <w:rsid w:val="00371DAC"/>
    <w:rsid w:val="00371FF8"/>
    <w:rsid w:val="003720CC"/>
    <w:rsid w:val="00372695"/>
    <w:rsid w:val="003726AD"/>
    <w:rsid w:val="00372789"/>
    <w:rsid w:val="0037284C"/>
    <w:rsid w:val="00372C69"/>
    <w:rsid w:val="00372DD1"/>
    <w:rsid w:val="0037371C"/>
    <w:rsid w:val="003737DB"/>
    <w:rsid w:val="00373DE6"/>
    <w:rsid w:val="00373E9D"/>
    <w:rsid w:val="00373F12"/>
    <w:rsid w:val="0037400B"/>
    <w:rsid w:val="00374D77"/>
    <w:rsid w:val="00374F72"/>
    <w:rsid w:val="003751DC"/>
    <w:rsid w:val="003751E0"/>
    <w:rsid w:val="00375589"/>
    <w:rsid w:val="003758AC"/>
    <w:rsid w:val="00375A93"/>
    <w:rsid w:val="00375AC2"/>
    <w:rsid w:val="00375B7D"/>
    <w:rsid w:val="00375DA9"/>
    <w:rsid w:val="003763E0"/>
    <w:rsid w:val="003766AF"/>
    <w:rsid w:val="00376DAB"/>
    <w:rsid w:val="00376EC2"/>
    <w:rsid w:val="00377018"/>
    <w:rsid w:val="00377A0D"/>
    <w:rsid w:val="00377A61"/>
    <w:rsid w:val="00380117"/>
    <w:rsid w:val="003803D3"/>
    <w:rsid w:val="0038087D"/>
    <w:rsid w:val="0038124C"/>
    <w:rsid w:val="0038158C"/>
    <w:rsid w:val="00381882"/>
    <w:rsid w:val="0038224C"/>
    <w:rsid w:val="003824F8"/>
    <w:rsid w:val="00382942"/>
    <w:rsid w:val="00382967"/>
    <w:rsid w:val="00382A11"/>
    <w:rsid w:val="00382B32"/>
    <w:rsid w:val="00382B5F"/>
    <w:rsid w:val="00382F89"/>
    <w:rsid w:val="00383532"/>
    <w:rsid w:val="00383928"/>
    <w:rsid w:val="00383C7F"/>
    <w:rsid w:val="00383DDA"/>
    <w:rsid w:val="00383FEC"/>
    <w:rsid w:val="003844C4"/>
    <w:rsid w:val="003848C1"/>
    <w:rsid w:val="00384954"/>
    <w:rsid w:val="00384DED"/>
    <w:rsid w:val="00384E1F"/>
    <w:rsid w:val="00385065"/>
    <w:rsid w:val="0038520D"/>
    <w:rsid w:val="003853EB"/>
    <w:rsid w:val="00385453"/>
    <w:rsid w:val="003855ED"/>
    <w:rsid w:val="0038573C"/>
    <w:rsid w:val="00385A66"/>
    <w:rsid w:val="00385ADB"/>
    <w:rsid w:val="00386157"/>
    <w:rsid w:val="0038619F"/>
    <w:rsid w:val="00386E16"/>
    <w:rsid w:val="00387246"/>
    <w:rsid w:val="003873E0"/>
    <w:rsid w:val="00387D6B"/>
    <w:rsid w:val="00387F4D"/>
    <w:rsid w:val="0039011C"/>
    <w:rsid w:val="003901D0"/>
    <w:rsid w:val="003902F5"/>
    <w:rsid w:val="00390434"/>
    <w:rsid w:val="003908B4"/>
    <w:rsid w:val="00390B6C"/>
    <w:rsid w:val="00390C7F"/>
    <w:rsid w:val="00390D31"/>
    <w:rsid w:val="00391220"/>
    <w:rsid w:val="003912D4"/>
    <w:rsid w:val="0039172C"/>
    <w:rsid w:val="00391BC6"/>
    <w:rsid w:val="003929CF"/>
    <w:rsid w:val="00392B4B"/>
    <w:rsid w:val="003930EC"/>
    <w:rsid w:val="003938D0"/>
    <w:rsid w:val="00393AD9"/>
    <w:rsid w:val="0039403C"/>
    <w:rsid w:val="0039422D"/>
    <w:rsid w:val="00394324"/>
    <w:rsid w:val="00394650"/>
    <w:rsid w:val="00394D8B"/>
    <w:rsid w:val="00395222"/>
    <w:rsid w:val="003958A4"/>
    <w:rsid w:val="00395C91"/>
    <w:rsid w:val="00395EF6"/>
    <w:rsid w:val="00396756"/>
    <w:rsid w:val="00396B40"/>
    <w:rsid w:val="00396BCF"/>
    <w:rsid w:val="00396CE7"/>
    <w:rsid w:val="00396E7F"/>
    <w:rsid w:val="0039737E"/>
    <w:rsid w:val="00397740"/>
    <w:rsid w:val="003977C3"/>
    <w:rsid w:val="00397D96"/>
    <w:rsid w:val="003A0466"/>
    <w:rsid w:val="003A063F"/>
    <w:rsid w:val="003A0FC9"/>
    <w:rsid w:val="003A1038"/>
    <w:rsid w:val="003A120E"/>
    <w:rsid w:val="003A20E1"/>
    <w:rsid w:val="003A22C7"/>
    <w:rsid w:val="003A242B"/>
    <w:rsid w:val="003A25CC"/>
    <w:rsid w:val="003A266E"/>
    <w:rsid w:val="003A28F3"/>
    <w:rsid w:val="003A2CBD"/>
    <w:rsid w:val="003A2D43"/>
    <w:rsid w:val="003A2F40"/>
    <w:rsid w:val="003A3013"/>
    <w:rsid w:val="003A3173"/>
    <w:rsid w:val="003A31D7"/>
    <w:rsid w:val="003A3447"/>
    <w:rsid w:val="003A3823"/>
    <w:rsid w:val="003A39BC"/>
    <w:rsid w:val="003A3DDD"/>
    <w:rsid w:val="003A3EC0"/>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B36"/>
    <w:rsid w:val="003A7D2F"/>
    <w:rsid w:val="003A7D83"/>
    <w:rsid w:val="003A7F5D"/>
    <w:rsid w:val="003B077C"/>
    <w:rsid w:val="003B079C"/>
    <w:rsid w:val="003B0A64"/>
    <w:rsid w:val="003B0BA4"/>
    <w:rsid w:val="003B1060"/>
    <w:rsid w:val="003B1073"/>
    <w:rsid w:val="003B1764"/>
    <w:rsid w:val="003B1C42"/>
    <w:rsid w:val="003B1D08"/>
    <w:rsid w:val="003B2247"/>
    <w:rsid w:val="003B2427"/>
    <w:rsid w:val="003B2617"/>
    <w:rsid w:val="003B2636"/>
    <w:rsid w:val="003B26B9"/>
    <w:rsid w:val="003B26D5"/>
    <w:rsid w:val="003B2C83"/>
    <w:rsid w:val="003B306F"/>
    <w:rsid w:val="003B3474"/>
    <w:rsid w:val="003B34A2"/>
    <w:rsid w:val="003B382D"/>
    <w:rsid w:val="003B3AFD"/>
    <w:rsid w:val="003B3B99"/>
    <w:rsid w:val="003B3F2A"/>
    <w:rsid w:val="003B4030"/>
    <w:rsid w:val="003B427D"/>
    <w:rsid w:val="003B4292"/>
    <w:rsid w:val="003B46D4"/>
    <w:rsid w:val="003B50E0"/>
    <w:rsid w:val="003B50ED"/>
    <w:rsid w:val="003B5654"/>
    <w:rsid w:val="003B585B"/>
    <w:rsid w:val="003B5970"/>
    <w:rsid w:val="003B5D9A"/>
    <w:rsid w:val="003B5E7A"/>
    <w:rsid w:val="003B5ED9"/>
    <w:rsid w:val="003B635E"/>
    <w:rsid w:val="003B6450"/>
    <w:rsid w:val="003B667B"/>
    <w:rsid w:val="003B66F7"/>
    <w:rsid w:val="003B6EC8"/>
    <w:rsid w:val="003B7004"/>
    <w:rsid w:val="003B7260"/>
    <w:rsid w:val="003B7515"/>
    <w:rsid w:val="003B77A5"/>
    <w:rsid w:val="003B7CB5"/>
    <w:rsid w:val="003B7D28"/>
    <w:rsid w:val="003B7ED3"/>
    <w:rsid w:val="003C0493"/>
    <w:rsid w:val="003C087F"/>
    <w:rsid w:val="003C1402"/>
    <w:rsid w:val="003C1419"/>
    <w:rsid w:val="003C1652"/>
    <w:rsid w:val="003C1946"/>
    <w:rsid w:val="003C1A33"/>
    <w:rsid w:val="003C1AFE"/>
    <w:rsid w:val="003C1B55"/>
    <w:rsid w:val="003C1BFE"/>
    <w:rsid w:val="003C21BC"/>
    <w:rsid w:val="003C2227"/>
    <w:rsid w:val="003C2416"/>
    <w:rsid w:val="003C26DD"/>
    <w:rsid w:val="003C2CB7"/>
    <w:rsid w:val="003C307C"/>
    <w:rsid w:val="003C318B"/>
    <w:rsid w:val="003C35A5"/>
    <w:rsid w:val="003C36E8"/>
    <w:rsid w:val="003C3BA9"/>
    <w:rsid w:val="003C3EFD"/>
    <w:rsid w:val="003C438E"/>
    <w:rsid w:val="003C4855"/>
    <w:rsid w:val="003C491B"/>
    <w:rsid w:val="003C4B56"/>
    <w:rsid w:val="003C506C"/>
    <w:rsid w:val="003C553F"/>
    <w:rsid w:val="003C56E6"/>
    <w:rsid w:val="003C5875"/>
    <w:rsid w:val="003C61C2"/>
    <w:rsid w:val="003C6BD9"/>
    <w:rsid w:val="003C6E22"/>
    <w:rsid w:val="003C6F61"/>
    <w:rsid w:val="003C6FDD"/>
    <w:rsid w:val="003C7182"/>
    <w:rsid w:val="003C7467"/>
    <w:rsid w:val="003C74EE"/>
    <w:rsid w:val="003D0A02"/>
    <w:rsid w:val="003D0AE4"/>
    <w:rsid w:val="003D0C41"/>
    <w:rsid w:val="003D0E34"/>
    <w:rsid w:val="003D0F32"/>
    <w:rsid w:val="003D10B6"/>
    <w:rsid w:val="003D11A6"/>
    <w:rsid w:val="003D11B4"/>
    <w:rsid w:val="003D1635"/>
    <w:rsid w:val="003D16AF"/>
    <w:rsid w:val="003D1798"/>
    <w:rsid w:val="003D1AC1"/>
    <w:rsid w:val="003D1C27"/>
    <w:rsid w:val="003D1DA8"/>
    <w:rsid w:val="003D21B1"/>
    <w:rsid w:val="003D21D6"/>
    <w:rsid w:val="003D2425"/>
    <w:rsid w:val="003D2694"/>
    <w:rsid w:val="003D2A57"/>
    <w:rsid w:val="003D2C08"/>
    <w:rsid w:val="003D2C1D"/>
    <w:rsid w:val="003D2FD3"/>
    <w:rsid w:val="003D346B"/>
    <w:rsid w:val="003D3F0F"/>
    <w:rsid w:val="003D4592"/>
    <w:rsid w:val="003D4715"/>
    <w:rsid w:val="003D4ABE"/>
    <w:rsid w:val="003D4E93"/>
    <w:rsid w:val="003D4EC8"/>
    <w:rsid w:val="003D54F1"/>
    <w:rsid w:val="003D5B8C"/>
    <w:rsid w:val="003D5D1D"/>
    <w:rsid w:val="003D608F"/>
    <w:rsid w:val="003D62D2"/>
    <w:rsid w:val="003D631A"/>
    <w:rsid w:val="003D6570"/>
    <w:rsid w:val="003D662C"/>
    <w:rsid w:val="003D66E0"/>
    <w:rsid w:val="003D683B"/>
    <w:rsid w:val="003D6F17"/>
    <w:rsid w:val="003D717D"/>
    <w:rsid w:val="003D736B"/>
    <w:rsid w:val="003D788B"/>
    <w:rsid w:val="003D7999"/>
    <w:rsid w:val="003D79BB"/>
    <w:rsid w:val="003D7A99"/>
    <w:rsid w:val="003E0661"/>
    <w:rsid w:val="003E0EE8"/>
    <w:rsid w:val="003E0F6E"/>
    <w:rsid w:val="003E118D"/>
    <w:rsid w:val="003E1260"/>
    <w:rsid w:val="003E1CCD"/>
    <w:rsid w:val="003E208E"/>
    <w:rsid w:val="003E2512"/>
    <w:rsid w:val="003E2EC0"/>
    <w:rsid w:val="003E3299"/>
    <w:rsid w:val="003E33A4"/>
    <w:rsid w:val="003E3CC6"/>
    <w:rsid w:val="003E3D85"/>
    <w:rsid w:val="003E47E0"/>
    <w:rsid w:val="003E4901"/>
    <w:rsid w:val="003E4A00"/>
    <w:rsid w:val="003E4AE3"/>
    <w:rsid w:val="003E4CA0"/>
    <w:rsid w:val="003E4D55"/>
    <w:rsid w:val="003E55B9"/>
    <w:rsid w:val="003E55E3"/>
    <w:rsid w:val="003E55E5"/>
    <w:rsid w:val="003E56C5"/>
    <w:rsid w:val="003E56EB"/>
    <w:rsid w:val="003E5BD3"/>
    <w:rsid w:val="003E5D74"/>
    <w:rsid w:val="003E5E7F"/>
    <w:rsid w:val="003E5FF2"/>
    <w:rsid w:val="003E6380"/>
    <w:rsid w:val="003E6735"/>
    <w:rsid w:val="003E6821"/>
    <w:rsid w:val="003E6924"/>
    <w:rsid w:val="003E69E8"/>
    <w:rsid w:val="003E6BB7"/>
    <w:rsid w:val="003E6DB8"/>
    <w:rsid w:val="003E71F6"/>
    <w:rsid w:val="003E76F3"/>
    <w:rsid w:val="003E774D"/>
    <w:rsid w:val="003E7878"/>
    <w:rsid w:val="003E7F16"/>
    <w:rsid w:val="003F0BD4"/>
    <w:rsid w:val="003F0FA6"/>
    <w:rsid w:val="003F1263"/>
    <w:rsid w:val="003F12C4"/>
    <w:rsid w:val="003F1780"/>
    <w:rsid w:val="003F18E1"/>
    <w:rsid w:val="003F1D31"/>
    <w:rsid w:val="003F1DB5"/>
    <w:rsid w:val="003F1E02"/>
    <w:rsid w:val="003F22A0"/>
    <w:rsid w:val="003F24C8"/>
    <w:rsid w:val="003F24E4"/>
    <w:rsid w:val="003F279F"/>
    <w:rsid w:val="003F2866"/>
    <w:rsid w:val="003F2D92"/>
    <w:rsid w:val="003F3274"/>
    <w:rsid w:val="003F385E"/>
    <w:rsid w:val="003F3F6E"/>
    <w:rsid w:val="003F3FEE"/>
    <w:rsid w:val="003F43AE"/>
    <w:rsid w:val="003F493A"/>
    <w:rsid w:val="003F4E13"/>
    <w:rsid w:val="003F5142"/>
    <w:rsid w:val="003F5386"/>
    <w:rsid w:val="003F55B2"/>
    <w:rsid w:val="003F5C9E"/>
    <w:rsid w:val="003F5CD3"/>
    <w:rsid w:val="003F60A5"/>
    <w:rsid w:val="003F6795"/>
    <w:rsid w:val="003F6B08"/>
    <w:rsid w:val="003F6B16"/>
    <w:rsid w:val="003F6D9D"/>
    <w:rsid w:val="003F756C"/>
    <w:rsid w:val="003F76F1"/>
    <w:rsid w:val="003F7D17"/>
    <w:rsid w:val="003F7EC8"/>
    <w:rsid w:val="00400BB0"/>
    <w:rsid w:val="00401059"/>
    <w:rsid w:val="00401888"/>
    <w:rsid w:val="00401DC0"/>
    <w:rsid w:val="00401EA6"/>
    <w:rsid w:val="004021B4"/>
    <w:rsid w:val="0040225B"/>
    <w:rsid w:val="0040276E"/>
    <w:rsid w:val="00402ADB"/>
    <w:rsid w:val="00402EAE"/>
    <w:rsid w:val="00402F99"/>
    <w:rsid w:val="00403265"/>
    <w:rsid w:val="004034D4"/>
    <w:rsid w:val="00403B30"/>
    <w:rsid w:val="004041E6"/>
    <w:rsid w:val="00404741"/>
    <w:rsid w:val="00404E65"/>
    <w:rsid w:val="00404F31"/>
    <w:rsid w:val="004053EF"/>
    <w:rsid w:val="00405B7E"/>
    <w:rsid w:val="004061C3"/>
    <w:rsid w:val="004062CE"/>
    <w:rsid w:val="004064D3"/>
    <w:rsid w:val="00406C96"/>
    <w:rsid w:val="00406DB2"/>
    <w:rsid w:val="00406E63"/>
    <w:rsid w:val="00406F72"/>
    <w:rsid w:val="0040734C"/>
    <w:rsid w:val="0041070E"/>
    <w:rsid w:val="00410790"/>
    <w:rsid w:val="00410888"/>
    <w:rsid w:val="00410B19"/>
    <w:rsid w:val="00410B88"/>
    <w:rsid w:val="00410EB3"/>
    <w:rsid w:val="00410FC2"/>
    <w:rsid w:val="00411F17"/>
    <w:rsid w:val="00412268"/>
    <w:rsid w:val="0041278B"/>
    <w:rsid w:val="0041288B"/>
    <w:rsid w:val="00412B03"/>
    <w:rsid w:val="00412D40"/>
    <w:rsid w:val="00412F5D"/>
    <w:rsid w:val="00413445"/>
    <w:rsid w:val="0041360A"/>
    <w:rsid w:val="00413857"/>
    <w:rsid w:val="00413D3A"/>
    <w:rsid w:val="004141B1"/>
    <w:rsid w:val="00414465"/>
    <w:rsid w:val="004145B5"/>
    <w:rsid w:val="004145FF"/>
    <w:rsid w:val="004146AD"/>
    <w:rsid w:val="00414884"/>
    <w:rsid w:val="00414940"/>
    <w:rsid w:val="00414AA4"/>
    <w:rsid w:val="00414C22"/>
    <w:rsid w:val="00414C2B"/>
    <w:rsid w:val="004150E8"/>
    <w:rsid w:val="00415CBF"/>
    <w:rsid w:val="00415E71"/>
    <w:rsid w:val="004162B1"/>
    <w:rsid w:val="004162D3"/>
    <w:rsid w:val="004163BE"/>
    <w:rsid w:val="00416552"/>
    <w:rsid w:val="00416785"/>
    <w:rsid w:val="00416DA8"/>
    <w:rsid w:val="0041734E"/>
    <w:rsid w:val="00417709"/>
    <w:rsid w:val="004179DD"/>
    <w:rsid w:val="00417BB4"/>
    <w:rsid w:val="00417CA5"/>
    <w:rsid w:val="00417E3E"/>
    <w:rsid w:val="00417F1B"/>
    <w:rsid w:val="00420213"/>
    <w:rsid w:val="0042037E"/>
    <w:rsid w:val="00420791"/>
    <w:rsid w:val="00420AB9"/>
    <w:rsid w:val="00420F66"/>
    <w:rsid w:val="004214C6"/>
    <w:rsid w:val="004215BA"/>
    <w:rsid w:val="004217B1"/>
    <w:rsid w:val="00421C13"/>
    <w:rsid w:val="00421DF4"/>
    <w:rsid w:val="004224A4"/>
    <w:rsid w:val="004226A8"/>
    <w:rsid w:val="0042306D"/>
    <w:rsid w:val="00423113"/>
    <w:rsid w:val="004231AD"/>
    <w:rsid w:val="00423A51"/>
    <w:rsid w:val="00424307"/>
    <w:rsid w:val="004244DF"/>
    <w:rsid w:val="00425330"/>
    <w:rsid w:val="004254E8"/>
    <w:rsid w:val="004255E2"/>
    <w:rsid w:val="004257FA"/>
    <w:rsid w:val="00425C83"/>
    <w:rsid w:val="00425F7B"/>
    <w:rsid w:val="00426209"/>
    <w:rsid w:val="004263C8"/>
    <w:rsid w:val="004264BA"/>
    <w:rsid w:val="00426555"/>
    <w:rsid w:val="00426C44"/>
    <w:rsid w:val="00426FA2"/>
    <w:rsid w:val="00427179"/>
    <w:rsid w:val="004272B4"/>
    <w:rsid w:val="004274EC"/>
    <w:rsid w:val="0042761C"/>
    <w:rsid w:val="004278D4"/>
    <w:rsid w:val="00427D7B"/>
    <w:rsid w:val="00427F0D"/>
    <w:rsid w:val="004303DA"/>
    <w:rsid w:val="00430563"/>
    <w:rsid w:val="00430A60"/>
    <w:rsid w:val="00430CCA"/>
    <w:rsid w:val="00430D17"/>
    <w:rsid w:val="00430E60"/>
    <w:rsid w:val="00431588"/>
    <w:rsid w:val="00431697"/>
    <w:rsid w:val="00432063"/>
    <w:rsid w:val="0043212A"/>
    <w:rsid w:val="004321F8"/>
    <w:rsid w:val="0043226A"/>
    <w:rsid w:val="0043288F"/>
    <w:rsid w:val="00432AC6"/>
    <w:rsid w:val="00433936"/>
    <w:rsid w:val="00433B92"/>
    <w:rsid w:val="00433C0E"/>
    <w:rsid w:val="00433CD6"/>
    <w:rsid w:val="00434508"/>
    <w:rsid w:val="004345FA"/>
    <w:rsid w:val="00434649"/>
    <w:rsid w:val="004348B5"/>
    <w:rsid w:val="00434A4A"/>
    <w:rsid w:val="00434B9D"/>
    <w:rsid w:val="00434CAA"/>
    <w:rsid w:val="00434E38"/>
    <w:rsid w:val="00435014"/>
    <w:rsid w:val="0043501D"/>
    <w:rsid w:val="00435361"/>
    <w:rsid w:val="0043586F"/>
    <w:rsid w:val="00435E1E"/>
    <w:rsid w:val="0043628B"/>
    <w:rsid w:val="004362F0"/>
    <w:rsid w:val="004363AA"/>
    <w:rsid w:val="004367A2"/>
    <w:rsid w:val="00436C92"/>
    <w:rsid w:val="0043777F"/>
    <w:rsid w:val="00437B36"/>
    <w:rsid w:val="00437CF4"/>
    <w:rsid w:val="00437FB4"/>
    <w:rsid w:val="00437FC3"/>
    <w:rsid w:val="00437FDD"/>
    <w:rsid w:val="00440629"/>
    <w:rsid w:val="00440753"/>
    <w:rsid w:val="00440C57"/>
    <w:rsid w:val="00440EC4"/>
    <w:rsid w:val="004416A3"/>
    <w:rsid w:val="004419CE"/>
    <w:rsid w:val="00441CE0"/>
    <w:rsid w:val="00441F06"/>
    <w:rsid w:val="00441F8E"/>
    <w:rsid w:val="004425FC"/>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975"/>
    <w:rsid w:val="00445A8E"/>
    <w:rsid w:val="00446001"/>
    <w:rsid w:val="004465F1"/>
    <w:rsid w:val="00446BA8"/>
    <w:rsid w:val="00447055"/>
    <w:rsid w:val="0044754D"/>
    <w:rsid w:val="004475AA"/>
    <w:rsid w:val="00447675"/>
    <w:rsid w:val="0044793E"/>
    <w:rsid w:val="00447971"/>
    <w:rsid w:val="004479C5"/>
    <w:rsid w:val="004503D5"/>
    <w:rsid w:val="0045048C"/>
    <w:rsid w:val="00450BD7"/>
    <w:rsid w:val="00451137"/>
    <w:rsid w:val="004512BD"/>
    <w:rsid w:val="004513AF"/>
    <w:rsid w:val="00451A0B"/>
    <w:rsid w:val="00451DD0"/>
    <w:rsid w:val="00452188"/>
    <w:rsid w:val="00452322"/>
    <w:rsid w:val="00452786"/>
    <w:rsid w:val="00452898"/>
    <w:rsid w:val="004529F2"/>
    <w:rsid w:val="00452F4D"/>
    <w:rsid w:val="004533F2"/>
    <w:rsid w:val="00453401"/>
    <w:rsid w:val="004538B8"/>
    <w:rsid w:val="00453999"/>
    <w:rsid w:val="00453A4B"/>
    <w:rsid w:val="00453D63"/>
    <w:rsid w:val="00453F50"/>
    <w:rsid w:val="0045404C"/>
    <w:rsid w:val="00454149"/>
    <w:rsid w:val="00454214"/>
    <w:rsid w:val="00454355"/>
    <w:rsid w:val="00454B8C"/>
    <w:rsid w:val="00454C1D"/>
    <w:rsid w:val="00454D45"/>
    <w:rsid w:val="00454FBE"/>
    <w:rsid w:val="00455204"/>
    <w:rsid w:val="00455218"/>
    <w:rsid w:val="0045524B"/>
    <w:rsid w:val="00455E91"/>
    <w:rsid w:val="00456B8C"/>
    <w:rsid w:val="004576A9"/>
    <w:rsid w:val="004577E8"/>
    <w:rsid w:val="0045790E"/>
    <w:rsid w:val="00457B7A"/>
    <w:rsid w:val="004604BD"/>
    <w:rsid w:val="00460689"/>
    <w:rsid w:val="004606EB"/>
    <w:rsid w:val="00460A46"/>
    <w:rsid w:val="00460EBE"/>
    <w:rsid w:val="00461234"/>
    <w:rsid w:val="00461B63"/>
    <w:rsid w:val="00462120"/>
    <w:rsid w:val="0046215A"/>
    <w:rsid w:val="004621D4"/>
    <w:rsid w:val="004624F5"/>
    <w:rsid w:val="00462531"/>
    <w:rsid w:val="00462571"/>
    <w:rsid w:val="004629CC"/>
    <w:rsid w:val="00462A64"/>
    <w:rsid w:val="00462E2B"/>
    <w:rsid w:val="00462EC5"/>
    <w:rsid w:val="0046312F"/>
    <w:rsid w:val="00463236"/>
    <w:rsid w:val="00463415"/>
    <w:rsid w:val="00463584"/>
    <w:rsid w:val="00463752"/>
    <w:rsid w:val="00463B2A"/>
    <w:rsid w:val="00464306"/>
    <w:rsid w:val="004645F5"/>
    <w:rsid w:val="004647CD"/>
    <w:rsid w:val="004648E9"/>
    <w:rsid w:val="00464A5F"/>
    <w:rsid w:val="00464F20"/>
    <w:rsid w:val="0046576F"/>
    <w:rsid w:val="00465876"/>
    <w:rsid w:val="00465E0B"/>
    <w:rsid w:val="00465F59"/>
    <w:rsid w:val="00466463"/>
    <w:rsid w:val="00466830"/>
    <w:rsid w:val="004668B5"/>
    <w:rsid w:val="00466935"/>
    <w:rsid w:val="00466ACE"/>
    <w:rsid w:val="00466C16"/>
    <w:rsid w:val="00466C26"/>
    <w:rsid w:val="00466C3C"/>
    <w:rsid w:val="00466C77"/>
    <w:rsid w:val="00466D6C"/>
    <w:rsid w:val="004672E1"/>
    <w:rsid w:val="00467741"/>
    <w:rsid w:val="00467C7F"/>
    <w:rsid w:val="00470328"/>
    <w:rsid w:val="00470532"/>
    <w:rsid w:val="004708B2"/>
    <w:rsid w:val="00470B16"/>
    <w:rsid w:val="00470CB1"/>
    <w:rsid w:val="00471185"/>
    <w:rsid w:val="00471463"/>
    <w:rsid w:val="00471782"/>
    <w:rsid w:val="004718D2"/>
    <w:rsid w:val="00471C5D"/>
    <w:rsid w:val="00471C7E"/>
    <w:rsid w:val="00471C9A"/>
    <w:rsid w:val="00472613"/>
    <w:rsid w:val="00472A15"/>
    <w:rsid w:val="00472E24"/>
    <w:rsid w:val="00473168"/>
    <w:rsid w:val="00473369"/>
    <w:rsid w:val="004737EE"/>
    <w:rsid w:val="00473E70"/>
    <w:rsid w:val="0047408B"/>
    <w:rsid w:val="00474735"/>
    <w:rsid w:val="00474894"/>
    <w:rsid w:val="004749A4"/>
    <w:rsid w:val="00474C45"/>
    <w:rsid w:val="004750B2"/>
    <w:rsid w:val="00475430"/>
    <w:rsid w:val="00475434"/>
    <w:rsid w:val="00475756"/>
    <w:rsid w:val="00475CCC"/>
    <w:rsid w:val="00475F37"/>
    <w:rsid w:val="00475F71"/>
    <w:rsid w:val="0047646E"/>
    <w:rsid w:val="00476842"/>
    <w:rsid w:val="00476E02"/>
    <w:rsid w:val="00477E15"/>
    <w:rsid w:val="00477E22"/>
    <w:rsid w:val="00477F64"/>
    <w:rsid w:val="00480258"/>
    <w:rsid w:val="00480588"/>
    <w:rsid w:val="004805B1"/>
    <w:rsid w:val="004805D4"/>
    <w:rsid w:val="00480B77"/>
    <w:rsid w:val="00480F81"/>
    <w:rsid w:val="004814CF"/>
    <w:rsid w:val="00481846"/>
    <w:rsid w:val="004818F2"/>
    <w:rsid w:val="00481C94"/>
    <w:rsid w:val="004820B5"/>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68"/>
    <w:rsid w:val="00487871"/>
    <w:rsid w:val="00487B92"/>
    <w:rsid w:val="00487D45"/>
    <w:rsid w:val="00487EFD"/>
    <w:rsid w:val="004900BB"/>
    <w:rsid w:val="004900DE"/>
    <w:rsid w:val="00491076"/>
    <w:rsid w:val="00491142"/>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06D"/>
    <w:rsid w:val="0049422A"/>
    <w:rsid w:val="00494482"/>
    <w:rsid w:val="004947CC"/>
    <w:rsid w:val="00494A22"/>
    <w:rsid w:val="00494BA2"/>
    <w:rsid w:val="00494F03"/>
    <w:rsid w:val="004951D5"/>
    <w:rsid w:val="00495258"/>
    <w:rsid w:val="0049531F"/>
    <w:rsid w:val="00495635"/>
    <w:rsid w:val="00495D2F"/>
    <w:rsid w:val="00495EB4"/>
    <w:rsid w:val="00496CD6"/>
    <w:rsid w:val="00496F8A"/>
    <w:rsid w:val="00496F93"/>
    <w:rsid w:val="004971A6"/>
    <w:rsid w:val="004973A1"/>
    <w:rsid w:val="00497BEE"/>
    <w:rsid w:val="004A03E9"/>
    <w:rsid w:val="004A0474"/>
    <w:rsid w:val="004A04AA"/>
    <w:rsid w:val="004A0765"/>
    <w:rsid w:val="004A0ED6"/>
    <w:rsid w:val="004A0EFC"/>
    <w:rsid w:val="004A1492"/>
    <w:rsid w:val="004A15E3"/>
    <w:rsid w:val="004A1802"/>
    <w:rsid w:val="004A1AFC"/>
    <w:rsid w:val="004A1E0F"/>
    <w:rsid w:val="004A27FA"/>
    <w:rsid w:val="004A2D70"/>
    <w:rsid w:val="004A2D7C"/>
    <w:rsid w:val="004A2F48"/>
    <w:rsid w:val="004A3060"/>
    <w:rsid w:val="004A3343"/>
    <w:rsid w:val="004A36E1"/>
    <w:rsid w:val="004A3730"/>
    <w:rsid w:val="004A37F0"/>
    <w:rsid w:val="004A3D03"/>
    <w:rsid w:val="004A3EAA"/>
    <w:rsid w:val="004A423D"/>
    <w:rsid w:val="004A42EB"/>
    <w:rsid w:val="004A4643"/>
    <w:rsid w:val="004A493C"/>
    <w:rsid w:val="004A4B17"/>
    <w:rsid w:val="004A5079"/>
    <w:rsid w:val="004A5097"/>
    <w:rsid w:val="004A50A3"/>
    <w:rsid w:val="004A56E3"/>
    <w:rsid w:val="004A5A19"/>
    <w:rsid w:val="004A5B7B"/>
    <w:rsid w:val="004A68EE"/>
    <w:rsid w:val="004A6F0B"/>
    <w:rsid w:val="004A77D9"/>
    <w:rsid w:val="004A7DEB"/>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42D"/>
    <w:rsid w:val="004B2541"/>
    <w:rsid w:val="004B2635"/>
    <w:rsid w:val="004B320A"/>
    <w:rsid w:val="004B3582"/>
    <w:rsid w:val="004B3AFD"/>
    <w:rsid w:val="004B3D0F"/>
    <w:rsid w:val="004B3DD1"/>
    <w:rsid w:val="004B3E12"/>
    <w:rsid w:val="004B4556"/>
    <w:rsid w:val="004B458C"/>
    <w:rsid w:val="004B478B"/>
    <w:rsid w:val="004B4E24"/>
    <w:rsid w:val="004B50F5"/>
    <w:rsid w:val="004B53A4"/>
    <w:rsid w:val="004B53E8"/>
    <w:rsid w:val="004B5458"/>
    <w:rsid w:val="004B61B4"/>
    <w:rsid w:val="004B630E"/>
    <w:rsid w:val="004B67C6"/>
    <w:rsid w:val="004B6B94"/>
    <w:rsid w:val="004B6E84"/>
    <w:rsid w:val="004B7047"/>
    <w:rsid w:val="004B708F"/>
    <w:rsid w:val="004B70F5"/>
    <w:rsid w:val="004B75D8"/>
    <w:rsid w:val="004B77FF"/>
    <w:rsid w:val="004B7C9A"/>
    <w:rsid w:val="004C053D"/>
    <w:rsid w:val="004C0773"/>
    <w:rsid w:val="004C0838"/>
    <w:rsid w:val="004C0B97"/>
    <w:rsid w:val="004C10CF"/>
    <w:rsid w:val="004C1485"/>
    <w:rsid w:val="004C16C6"/>
    <w:rsid w:val="004C1AEC"/>
    <w:rsid w:val="004C1D1F"/>
    <w:rsid w:val="004C2202"/>
    <w:rsid w:val="004C227F"/>
    <w:rsid w:val="004C2313"/>
    <w:rsid w:val="004C2AD4"/>
    <w:rsid w:val="004C2AD5"/>
    <w:rsid w:val="004C2B92"/>
    <w:rsid w:val="004C2BAD"/>
    <w:rsid w:val="004C302F"/>
    <w:rsid w:val="004C3098"/>
    <w:rsid w:val="004C32E9"/>
    <w:rsid w:val="004C4033"/>
    <w:rsid w:val="004C41D5"/>
    <w:rsid w:val="004C4342"/>
    <w:rsid w:val="004C4474"/>
    <w:rsid w:val="004C4523"/>
    <w:rsid w:val="004C460C"/>
    <w:rsid w:val="004C485E"/>
    <w:rsid w:val="004C4ABC"/>
    <w:rsid w:val="004C4AFD"/>
    <w:rsid w:val="004C4F7E"/>
    <w:rsid w:val="004C533C"/>
    <w:rsid w:val="004C5619"/>
    <w:rsid w:val="004C567F"/>
    <w:rsid w:val="004C5AA6"/>
    <w:rsid w:val="004C5DBE"/>
    <w:rsid w:val="004C5F4D"/>
    <w:rsid w:val="004C65F6"/>
    <w:rsid w:val="004C6627"/>
    <w:rsid w:val="004C6796"/>
    <w:rsid w:val="004C7890"/>
    <w:rsid w:val="004C7D1A"/>
    <w:rsid w:val="004D06EA"/>
    <w:rsid w:val="004D0CAE"/>
    <w:rsid w:val="004D0DB7"/>
    <w:rsid w:val="004D1337"/>
    <w:rsid w:val="004D1577"/>
    <w:rsid w:val="004D16D2"/>
    <w:rsid w:val="004D1714"/>
    <w:rsid w:val="004D17CD"/>
    <w:rsid w:val="004D198F"/>
    <w:rsid w:val="004D19CC"/>
    <w:rsid w:val="004D1ABB"/>
    <w:rsid w:val="004D1BFD"/>
    <w:rsid w:val="004D1BFE"/>
    <w:rsid w:val="004D1EA9"/>
    <w:rsid w:val="004D22A2"/>
    <w:rsid w:val="004D2335"/>
    <w:rsid w:val="004D254B"/>
    <w:rsid w:val="004D2F33"/>
    <w:rsid w:val="004D30E8"/>
    <w:rsid w:val="004D3211"/>
    <w:rsid w:val="004D3DB4"/>
    <w:rsid w:val="004D3DC6"/>
    <w:rsid w:val="004D3E72"/>
    <w:rsid w:val="004D45E5"/>
    <w:rsid w:val="004D4880"/>
    <w:rsid w:val="004D4B5C"/>
    <w:rsid w:val="004D4FC4"/>
    <w:rsid w:val="004D5F62"/>
    <w:rsid w:val="004D64B8"/>
    <w:rsid w:val="004D64BF"/>
    <w:rsid w:val="004D68D4"/>
    <w:rsid w:val="004D6A1C"/>
    <w:rsid w:val="004D6C18"/>
    <w:rsid w:val="004D6C6E"/>
    <w:rsid w:val="004D709D"/>
    <w:rsid w:val="004D793A"/>
    <w:rsid w:val="004D7C9A"/>
    <w:rsid w:val="004E00E3"/>
    <w:rsid w:val="004E033F"/>
    <w:rsid w:val="004E0AD4"/>
    <w:rsid w:val="004E0B98"/>
    <w:rsid w:val="004E0CE3"/>
    <w:rsid w:val="004E0FC7"/>
    <w:rsid w:val="004E13F8"/>
    <w:rsid w:val="004E167C"/>
    <w:rsid w:val="004E1708"/>
    <w:rsid w:val="004E1E71"/>
    <w:rsid w:val="004E1FEA"/>
    <w:rsid w:val="004E21C0"/>
    <w:rsid w:val="004E24BB"/>
    <w:rsid w:val="004E3081"/>
    <w:rsid w:val="004E31F9"/>
    <w:rsid w:val="004E349C"/>
    <w:rsid w:val="004E366F"/>
    <w:rsid w:val="004E3D53"/>
    <w:rsid w:val="004E3FD2"/>
    <w:rsid w:val="004E452F"/>
    <w:rsid w:val="004E4BDE"/>
    <w:rsid w:val="004E4D9B"/>
    <w:rsid w:val="004E527B"/>
    <w:rsid w:val="004E52DC"/>
    <w:rsid w:val="004E55C6"/>
    <w:rsid w:val="004E56AE"/>
    <w:rsid w:val="004E5974"/>
    <w:rsid w:val="004E5BAF"/>
    <w:rsid w:val="004E5C82"/>
    <w:rsid w:val="004E5E92"/>
    <w:rsid w:val="004E5FB0"/>
    <w:rsid w:val="004E60F0"/>
    <w:rsid w:val="004E61C9"/>
    <w:rsid w:val="004E62FA"/>
    <w:rsid w:val="004E6819"/>
    <w:rsid w:val="004E75B6"/>
    <w:rsid w:val="004E7A77"/>
    <w:rsid w:val="004F019A"/>
    <w:rsid w:val="004F0B06"/>
    <w:rsid w:val="004F0C17"/>
    <w:rsid w:val="004F0C26"/>
    <w:rsid w:val="004F0C45"/>
    <w:rsid w:val="004F0E4C"/>
    <w:rsid w:val="004F0F4F"/>
    <w:rsid w:val="004F1192"/>
    <w:rsid w:val="004F19CF"/>
    <w:rsid w:val="004F1AA0"/>
    <w:rsid w:val="004F1C31"/>
    <w:rsid w:val="004F1C8A"/>
    <w:rsid w:val="004F1D41"/>
    <w:rsid w:val="004F1E4C"/>
    <w:rsid w:val="004F208A"/>
    <w:rsid w:val="004F2258"/>
    <w:rsid w:val="004F293D"/>
    <w:rsid w:val="004F2FBE"/>
    <w:rsid w:val="004F3269"/>
    <w:rsid w:val="004F3791"/>
    <w:rsid w:val="004F37D5"/>
    <w:rsid w:val="004F3804"/>
    <w:rsid w:val="004F38F2"/>
    <w:rsid w:val="004F3971"/>
    <w:rsid w:val="004F3BD7"/>
    <w:rsid w:val="004F3D13"/>
    <w:rsid w:val="004F3D3A"/>
    <w:rsid w:val="004F3FFB"/>
    <w:rsid w:val="004F4066"/>
    <w:rsid w:val="004F49F0"/>
    <w:rsid w:val="004F4ADA"/>
    <w:rsid w:val="004F4DF8"/>
    <w:rsid w:val="004F5108"/>
    <w:rsid w:val="004F5377"/>
    <w:rsid w:val="004F5478"/>
    <w:rsid w:val="004F5619"/>
    <w:rsid w:val="004F5A93"/>
    <w:rsid w:val="004F617A"/>
    <w:rsid w:val="004F619E"/>
    <w:rsid w:val="004F69AB"/>
    <w:rsid w:val="004F6B90"/>
    <w:rsid w:val="004F6BFE"/>
    <w:rsid w:val="004F6FC2"/>
    <w:rsid w:val="004F70D7"/>
    <w:rsid w:val="004F7A11"/>
    <w:rsid w:val="004F7C81"/>
    <w:rsid w:val="004F7C91"/>
    <w:rsid w:val="004F7E94"/>
    <w:rsid w:val="004F7F58"/>
    <w:rsid w:val="005004AC"/>
    <w:rsid w:val="00500907"/>
    <w:rsid w:val="00500AFD"/>
    <w:rsid w:val="00500E8B"/>
    <w:rsid w:val="00501539"/>
    <w:rsid w:val="00501B5F"/>
    <w:rsid w:val="005022DD"/>
    <w:rsid w:val="0050259A"/>
    <w:rsid w:val="00502760"/>
    <w:rsid w:val="005028C5"/>
    <w:rsid w:val="00502DB9"/>
    <w:rsid w:val="005035BC"/>
    <w:rsid w:val="0050367E"/>
    <w:rsid w:val="00503B8A"/>
    <w:rsid w:val="00504703"/>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0A34"/>
    <w:rsid w:val="00511166"/>
    <w:rsid w:val="005111E6"/>
    <w:rsid w:val="005113B6"/>
    <w:rsid w:val="00511A7F"/>
    <w:rsid w:val="00511B4A"/>
    <w:rsid w:val="00511E34"/>
    <w:rsid w:val="00512079"/>
    <w:rsid w:val="005121F4"/>
    <w:rsid w:val="005122E4"/>
    <w:rsid w:val="00512348"/>
    <w:rsid w:val="005124EC"/>
    <w:rsid w:val="005128D3"/>
    <w:rsid w:val="005129FF"/>
    <w:rsid w:val="00512CC3"/>
    <w:rsid w:val="00512FF9"/>
    <w:rsid w:val="00513AD8"/>
    <w:rsid w:val="00513B48"/>
    <w:rsid w:val="00513C24"/>
    <w:rsid w:val="00513D79"/>
    <w:rsid w:val="0051436A"/>
    <w:rsid w:val="005143BC"/>
    <w:rsid w:val="005144D6"/>
    <w:rsid w:val="0051494A"/>
    <w:rsid w:val="00514D4C"/>
    <w:rsid w:val="00514F79"/>
    <w:rsid w:val="005151EE"/>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17E73"/>
    <w:rsid w:val="00520887"/>
    <w:rsid w:val="00520963"/>
    <w:rsid w:val="005209D3"/>
    <w:rsid w:val="005212D3"/>
    <w:rsid w:val="00521A5F"/>
    <w:rsid w:val="00521CEA"/>
    <w:rsid w:val="00521E7B"/>
    <w:rsid w:val="005222FD"/>
    <w:rsid w:val="00522492"/>
    <w:rsid w:val="00523538"/>
    <w:rsid w:val="0052370E"/>
    <w:rsid w:val="00523BAD"/>
    <w:rsid w:val="00523D16"/>
    <w:rsid w:val="00523E6A"/>
    <w:rsid w:val="00523F0F"/>
    <w:rsid w:val="0052490F"/>
    <w:rsid w:val="00524968"/>
    <w:rsid w:val="0052499A"/>
    <w:rsid w:val="00524AEE"/>
    <w:rsid w:val="00524C7E"/>
    <w:rsid w:val="00524F28"/>
    <w:rsid w:val="0052525F"/>
    <w:rsid w:val="00525488"/>
    <w:rsid w:val="005254D7"/>
    <w:rsid w:val="005260F5"/>
    <w:rsid w:val="005265E0"/>
    <w:rsid w:val="00526BF3"/>
    <w:rsid w:val="00526C51"/>
    <w:rsid w:val="00526F0E"/>
    <w:rsid w:val="00527058"/>
    <w:rsid w:val="005271B7"/>
    <w:rsid w:val="00527578"/>
    <w:rsid w:val="005275A7"/>
    <w:rsid w:val="0052761D"/>
    <w:rsid w:val="005277A7"/>
    <w:rsid w:val="005278BA"/>
    <w:rsid w:val="00527BFA"/>
    <w:rsid w:val="00527C0A"/>
    <w:rsid w:val="00527D21"/>
    <w:rsid w:val="00527F14"/>
    <w:rsid w:val="00527F34"/>
    <w:rsid w:val="005300E6"/>
    <w:rsid w:val="00530152"/>
    <w:rsid w:val="00530B61"/>
    <w:rsid w:val="00530BCF"/>
    <w:rsid w:val="005311E6"/>
    <w:rsid w:val="00531314"/>
    <w:rsid w:val="005314D6"/>
    <w:rsid w:val="005316BC"/>
    <w:rsid w:val="00531909"/>
    <w:rsid w:val="0053197A"/>
    <w:rsid w:val="00531AF9"/>
    <w:rsid w:val="00531D9D"/>
    <w:rsid w:val="00531FB3"/>
    <w:rsid w:val="0053208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5F7B"/>
    <w:rsid w:val="0053623F"/>
    <w:rsid w:val="005366DD"/>
    <w:rsid w:val="0053681F"/>
    <w:rsid w:val="0053784D"/>
    <w:rsid w:val="005379DB"/>
    <w:rsid w:val="00537AC5"/>
    <w:rsid w:val="00537C38"/>
    <w:rsid w:val="00537CBF"/>
    <w:rsid w:val="00537EB5"/>
    <w:rsid w:val="00537F92"/>
    <w:rsid w:val="0054011E"/>
    <w:rsid w:val="00540598"/>
    <w:rsid w:val="00540700"/>
    <w:rsid w:val="005407F1"/>
    <w:rsid w:val="00540D55"/>
    <w:rsid w:val="00540F92"/>
    <w:rsid w:val="00541FDC"/>
    <w:rsid w:val="005420C9"/>
    <w:rsid w:val="0054249C"/>
    <w:rsid w:val="005424D8"/>
    <w:rsid w:val="00542508"/>
    <w:rsid w:val="005427AE"/>
    <w:rsid w:val="005428F1"/>
    <w:rsid w:val="0054344D"/>
    <w:rsid w:val="0054408B"/>
    <w:rsid w:val="005441EE"/>
    <w:rsid w:val="00544204"/>
    <w:rsid w:val="00544315"/>
    <w:rsid w:val="00544A1A"/>
    <w:rsid w:val="00544C2B"/>
    <w:rsid w:val="00544E8F"/>
    <w:rsid w:val="00545019"/>
    <w:rsid w:val="00545A55"/>
    <w:rsid w:val="00545BD3"/>
    <w:rsid w:val="005461B7"/>
    <w:rsid w:val="005466F7"/>
    <w:rsid w:val="0054675E"/>
    <w:rsid w:val="00546AAC"/>
    <w:rsid w:val="00546B98"/>
    <w:rsid w:val="00546F0D"/>
    <w:rsid w:val="005470EE"/>
    <w:rsid w:val="0054718A"/>
    <w:rsid w:val="0054743F"/>
    <w:rsid w:val="00547676"/>
    <w:rsid w:val="00547BEA"/>
    <w:rsid w:val="00547C19"/>
    <w:rsid w:val="00547E06"/>
    <w:rsid w:val="005500A1"/>
    <w:rsid w:val="00550127"/>
    <w:rsid w:val="005501C7"/>
    <w:rsid w:val="005508FC"/>
    <w:rsid w:val="00550B7F"/>
    <w:rsid w:val="0055130A"/>
    <w:rsid w:val="005513BF"/>
    <w:rsid w:val="00551AC9"/>
    <w:rsid w:val="00551B53"/>
    <w:rsid w:val="00551D57"/>
    <w:rsid w:val="00551D9F"/>
    <w:rsid w:val="00552003"/>
    <w:rsid w:val="00552370"/>
    <w:rsid w:val="005523CA"/>
    <w:rsid w:val="00552A51"/>
    <w:rsid w:val="00552B86"/>
    <w:rsid w:val="00552E62"/>
    <w:rsid w:val="005531DB"/>
    <w:rsid w:val="00553600"/>
    <w:rsid w:val="00553A96"/>
    <w:rsid w:val="00553F68"/>
    <w:rsid w:val="00554263"/>
    <w:rsid w:val="005543DD"/>
    <w:rsid w:val="005544DD"/>
    <w:rsid w:val="00554853"/>
    <w:rsid w:val="00554A55"/>
    <w:rsid w:val="00554D41"/>
    <w:rsid w:val="00554D70"/>
    <w:rsid w:val="00555150"/>
    <w:rsid w:val="00555D45"/>
    <w:rsid w:val="00555F52"/>
    <w:rsid w:val="005561A1"/>
    <w:rsid w:val="005562B4"/>
    <w:rsid w:val="00556969"/>
    <w:rsid w:val="00556E92"/>
    <w:rsid w:val="00557593"/>
    <w:rsid w:val="005575A3"/>
    <w:rsid w:val="005579DB"/>
    <w:rsid w:val="0056019A"/>
    <w:rsid w:val="005601E3"/>
    <w:rsid w:val="00560348"/>
    <w:rsid w:val="00560353"/>
    <w:rsid w:val="005604F3"/>
    <w:rsid w:val="005606B9"/>
    <w:rsid w:val="0056079A"/>
    <w:rsid w:val="0056095B"/>
    <w:rsid w:val="00560B74"/>
    <w:rsid w:val="00561420"/>
    <w:rsid w:val="005616DC"/>
    <w:rsid w:val="00561CD9"/>
    <w:rsid w:val="00561DF7"/>
    <w:rsid w:val="00561F3F"/>
    <w:rsid w:val="00561FB2"/>
    <w:rsid w:val="0056222F"/>
    <w:rsid w:val="0056232A"/>
    <w:rsid w:val="005626EF"/>
    <w:rsid w:val="005627B8"/>
    <w:rsid w:val="00562A63"/>
    <w:rsid w:val="00563178"/>
    <w:rsid w:val="00563524"/>
    <w:rsid w:val="00563645"/>
    <w:rsid w:val="005636B5"/>
    <w:rsid w:val="005636F1"/>
    <w:rsid w:val="00563988"/>
    <w:rsid w:val="005639C2"/>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B26"/>
    <w:rsid w:val="00570D98"/>
    <w:rsid w:val="00570FD6"/>
    <w:rsid w:val="0057103E"/>
    <w:rsid w:val="005711E4"/>
    <w:rsid w:val="00571C21"/>
    <w:rsid w:val="00571D4B"/>
    <w:rsid w:val="00571D99"/>
    <w:rsid w:val="0057291B"/>
    <w:rsid w:val="00573120"/>
    <w:rsid w:val="005732EE"/>
    <w:rsid w:val="005735BB"/>
    <w:rsid w:val="005738EB"/>
    <w:rsid w:val="005739B9"/>
    <w:rsid w:val="00573EF4"/>
    <w:rsid w:val="0057431D"/>
    <w:rsid w:val="005746CE"/>
    <w:rsid w:val="005749A0"/>
    <w:rsid w:val="00574A89"/>
    <w:rsid w:val="00574B1C"/>
    <w:rsid w:val="00574BCD"/>
    <w:rsid w:val="00575119"/>
    <w:rsid w:val="00575E75"/>
    <w:rsid w:val="00575EAD"/>
    <w:rsid w:val="00576270"/>
    <w:rsid w:val="00576948"/>
    <w:rsid w:val="00576CD1"/>
    <w:rsid w:val="00576D51"/>
    <w:rsid w:val="00576DDC"/>
    <w:rsid w:val="00576F0D"/>
    <w:rsid w:val="0057718A"/>
    <w:rsid w:val="00577322"/>
    <w:rsid w:val="005774A5"/>
    <w:rsid w:val="005776E3"/>
    <w:rsid w:val="00577A1D"/>
    <w:rsid w:val="00577CD4"/>
    <w:rsid w:val="00577F81"/>
    <w:rsid w:val="0058027B"/>
    <w:rsid w:val="005802C5"/>
    <w:rsid w:val="005803D9"/>
    <w:rsid w:val="005810D1"/>
    <w:rsid w:val="00581A08"/>
    <w:rsid w:val="00581BDB"/>
    <w:rsid w:val="005821B8"/>
    <w:rsid w:val="005823F0"/>
    <w:rsid w:val="005829AE"/>
    <w:rsid w:val="00582C37"/>
    <w:rsid w:val="00583017"/>
    <w:rsid w:val="005833D8"/>
    <w:rsid w:val="00583796"/>
    <w:rsid w:val="0058397E"/>
    <w:rsid w:val="00583D4C"/>
    <w:rsid w:val="00584A81"/>
    <w:rsid w:val="00584C9D"/>
    <w:rsid w:val="00584D85"/>
    <w:rsid w:val="00584F7D"/>
    <w:rsid w:val="005850C6"/>
    <w:rsid w:val="00585113"/>
    <w:rsid w:val="005856B0"/>
    <w:rsid w:val="00585899"/>
    <w:rsid w:val="00585AC9"/>
    <w:rsid w:val="00585F76"/>
    <w:rsid w:val="00585F8F"/>
    <w:rsid w:val="005865B7"/>
    <w:rsid w:val="00586695"/>
    <w:rsid w:val="005868CE"/>
    <w:rsid w:val="00586DD6"/>
    <w:rsid w:val="0058717F"/>
    <w:rsid w:val="005871CF"/>
    <w:rsid w:val="0058748C"/>
    <w:rsid w:val="005877A0"/>
    <w:rsid w:val="005877F0"/>
    <w:rsid w:val="00587D99"/>
    <w:rsid w:val="00587DA1"/>
    <w:rsid w:val="00587F10"/>
    <w:rsid w:val="005900E4"/>
    <w:rsid w:val="005900FD"/>
    <w:rsid w:val="0059027E"/>
    <w:rsid w:val="00590694"/>
    <w:rsid w:val="005909D7"/>
    <w:rsid w:val="005915DF"/>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D2C"/>
    <w:rsid w:val="00594EC9"/>
    <w:rsid w:val="00594FC2"/>
    <w:rsid w:val="00595185"/>
    <w:rsid w:val="005952F5"/>
    <w:rsid w:val="00595364"/>
    <w:rsid w:val="005954AF"/>
    <w:rsid w:val="0059553E"/>
    <w:rsid w:val="00596754"/>
    <w:rsid w:val="005968F3"/>
    <w:rsid w:val="00596CEC"/>
    <w:rsid w:val="00596F7B"/>
    <w:rsid w:val="00597A2B"/>
    <w:rsid w:val="00597EC4"/>
    <w:rsid w:val="005A0A8A"/>
    <w:rsid w:val="005A0C13"/>
    <w:rsid w:val="005A1336"/>
    <w:rsid w:val="005A147F"/>
    <w:rsid w:val="005A1647"/>
    <w:rsid w:val="005A168D"/>
    <w:rsid w:val="005A198A"/>
    <w:rsid w:val="005A1A34"/>
    <w:rsid w:val="005A1C2E"/>
    <w:rsid w:val="005A1C33"/>
    <w:rsid w:val="005A2468"/>
    <w:rsid w:val="005A2700"/>
    <w:rsid w:val="005A291D"/>
    <w:rsid w:val="005A2D9F"/>
    <w:rsid w:val="005A2E9E"/>
    <w:rsid w:val="005A3260"/>
    <w:rsid w:val="005A32A3"/>
    <w:rsid w:val="005A32EC"/>
    <w:rsid w:val="005A3C55"/>
    <w:rsid w:val="005A43F8"/>
    <w:rsid w:val="005A5535"/>
    <w:rsid w:val="005A5A33"/>
    <w:rsid w:val="005A5C24"/>
    <w:rsid w:val="005A5C4A"/>
    <w:rsid w:val="005A5D26"/>
    <w:rsid w:val="005A5EB7"/>
    <w:rsid w:val="005A6477"/>
    <w:rsid w:val="005A657F"/>
    <w:rsid w:val="005A6EC6"/>
    <w:rsid w:val="005A6F20"/>
    <w:rsid w:val="005A6FB4"/>
    <w:rsid w:val="005A7235"/>
    <w:rsid w:val="005A748F"/>
    <w:rsid w:val="005A78CA"/>
    <w:rsid w:val="005A7931"/>
    <w:rsid w:val="005A7B44"/>
    <w:rsid w:val="005B0015"/>
    <w:rsid w:val="005B0FFF"/>
    <w:rsid w:val="005B1399"/>
    <w:rsid w:val="005B1E68"/>
    <w:rsid w:val="005B2914"/>
    <w:rsid w:val="005B293B"/>
    <w:rsid w:val="005B29A2"/>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AA4"/>
    <w:rsid w:val="005B5DD1"/>
    <w:rsid w:val="005B63AD"/>
    <w:rsid w:val="005B65F9"/>
    <w:rsid w:val="005B68E7"/>
    <w:rsid w:val="005B6AF3"/>
    <w:rsid w:val="005B6B1A"/>
    <w:rsid w:val="005B6B34"/>
    <w:rsid w:val="005B6C17"/>
    <w:rsid w:val="005B6FC9"/>
    <w:rsid w:val="005B6FD6"/>
    <w:rsid w:val="005B78EC"/>
    <w:rsid w:val="005B7B2A"/>
    <w:rsid w:val="005B7C1F"/>
    <w:rsid w:val="005C0121"/>
    <w:rsid w:val="005C0713"/>
    <w:rsid w:val="005C0A2E"/>
    <w:rsid w:val="005C0E93"/>
    <w:rsid w:val="005C1600"/>
    <w:rsid w:val="005C1684"/>
    <w:rsid w:val="005C1AF3"/>
    <w:rsid w:val="005C204B"/>
    <w:rsid w:val="005C253A"/>
    <w:rsid w:val="005C25C1"/>
    <w:rsid w:val="005C2762"/>
    <w:rsid w:val="005C2AF2"/>
    <w:rsid w:val="005C3389"/>
    <w:rsid w:val="005C379C"/>
    <w:rsid w:val="005C38F1"/>
    <w:rsid w:val="005C3BE1"/>
    <w:rsid w:val="005C3DA1"/>
    <w:rsid w:val="005C4453"/>
    <w:rsid w:val="005C4489"/>
    <w:rsid w:val="005C453C"/>
    <w:rsid w:val="005C47E2"/>
    <w:rsid w:val="005C4CB9"/>
    <w:rsid w:val="005C53DC"/>
    <w:rsid w:val="005C53E0"/>
    <w:rsid w:val="005C5488"/>
    <w:rsid w:val="005C54D5"/>
    <w:rsid w:val="005C54F0"/>
    <w:rsid w:val="005C5584"/>
    <w:rsid w:val="005C5AC9"/>
    <w:rsid w:val="005C5BE4"/>
    <w:rsid w:val="005C62F2"/>
    <w:rsid w:val="005C62FE"/>
    <w:rsid w:val="005C656E"/>
    <w:rsid w:val="005C6B8D"/>
    <w:rsid w:val="005C732C"/>
    <w:rsid w:val="005C7622"/>
    <w:rsid w:val="005C766F"/>
    <w:rsid w:val="005C76CB"/>
    <w:rsid w:val="005C7942"/>
    <w:rsid w:val="005C7C00"/>
    <w:rsid w:val="005D049B"/>
    <w:rsid w:val="005D0625"/>
    <w:rsid w:val="005D07D0"/>
    <w:rsid w:val="005D14B0"/>
    <w:rsid w:val="005D15D4"/>
    <w:rsid w:val="005D19C2"/>
    <w:rsid w:val="005D1AF6"/>
    <w:rsid w:val="005D1B60"/>
    <w:rsid w:val="005D1D7F"/>
    <w:rsid w:val="005D2079"/>
    <w:rsid w:val="005D2101"/>
    <w:rsid w:val="005D2124"/>
    <w:rsid w:val="005D2AEC"/>
    <w:rsid w:val="005D2B0A"/>
    <w:rsid w:val="005D2BBC"/>
    <w:rsid w:val="005D2CAA"/>
    <w:rsid w:val="005D2CF3"/>
    <w:rsid w:val="005D2E78"/>
    <w:rsid w:val="005D36E6"/>
    <w:rsid w:val="005D3DC8"/>
    <w:rsid w:val="005D3E82"/>
    <w:rsid w:val="005D4239"/>
    <w:rsid w:val="005D4323"/>
    <w:rsid w:val="005D4330"/>
    <w:rsid w:val="005D44E2"/>
    <w:rsid w:val="005D47DA"/>
    <w:rsid w:val="005D4902"/>
    <w:rsid w:val="005D4DFA"/>
    <w:rsid w:val="005D5147"/>
    <w:rsid w:val="005D5515"/>
    <w:rsid w:val="005D562D"/>
    <w:rsid w:val="005D5901"/>
    <w:rsid w:val="005D5B2F"/>
    <w:rsid w:val="005D5DB4"/>
    <w:rsid w:val="005D609F"/>
    <w:rsid w:val="005D60A6"/>
    <w:rsid w:val="005D6118"/>
    <w:rsid w:val="005D6200"/>
    <w:rsid w:val="005D67A6"/>
    <w:rsid w:val="005D6A5A"/>
    <w:rsid w:val="005D6EB9"/>
    <w:rsid w:val="005D7309"/>
    <w:rsid w:val="005D7A36"/>
    <w:rsid w:val="005D7ABC"/>
    <w:rsid w:val="005D7FB9"/>
    <w:rsid w:val="005E05F7"/>
    <w:rsid w:val="005E07B9"/>
    <w:rsid w:val="005E1412"/>
    <w:rsid w:val="005E17B4"/>
    <w:rsid w:val="005E1866"/>
    <w:rsid w:val="005E1E4E"/>
    <w:rsid w:val="005E1FC6"/>
    <w:rsid w:val="005E2158"/>
    <w:rsid w:val="005E228B"/>
    <w:rsid w:val="005E2BD7"/>
    <w:rsid w:val="005E2DE5"/>
    <w:rsid w:val="005E31EE"/>
    <w:rsid w:val="005E3B31"/>
    <w:rsid w:val="005E405A"/>
    <w:rsid w:val="005E416C"/>
    <w:rsid w:val="005E4B51"/>
    <w:rsid w:val="005E4F84"/>
    <w:rsid w:val="005E54FD"/>
    <w:rsid w:val="005E5BE7"/>
    <w:rsid w:val="005E6360"/>
    <w:rsid w:val="005E66F7"/>
    <w:rsid w:val="005E6892"/>
    <w:rsid w:val="005E6966"/>
    <w:rsid w:val="005E69C6"/>
    <w:rsid w:val="005E6C08"/>
    <w:rsid w:val="005E6DE0"/>
    <w:rsid w:val="005E6FE2"/>
    <w:rsid w:val="005E7265"/>
    <w:rsid w:val="005E72EF"/>
    <w:rsid w:val="005E7369"/>
    <w:rsid w:val="005E774A"/>
    <w:rsid w:val="005E7803"/>
    <w:rsid w:val="005E7BA9"/>
    <w:rsid w:val="005E7BED"/>
    <w:rsid w:val="005F0268"/>
    <w:rsid w:val="005F02BC"/>
    <w:rsid w:val="005F03BC"/>
    <w:rsid w:val="005F0A4B"/>
    <w:rsid w:val="005F0A57"/>
    <w:rsid w:val="005F0C1B"/>
    <w:rsid w:val="005F11EB"/>
    <w:rsid w:val="005F161B"/>
    <w:rsid w:val="005F1B57"/>
    <w:rsid w:val="005F1BD3"/>
    <w:rsid w:val="005F1BED"/>
    <w:rsid w:val="005F1D4B"/>
    <w:rsid w:val="005F1F32"/>
    <w:rsid w:val="005F249D"/>
    <w:rsid w:val="005F255D"/>
    <w:rsid w:val="005F25F5"/>
    <w:rsid w:val="005F2708"/>
    <w:rsid w:val="005F2B29"/>
    <w:rsid w:val="005F3425"/>
    <w:rsid w:val="005F3435"/>
    <w:rsid w:val="005F3C79"/>
    <w:rsid w:val="005F417B"/>
    <w:rsid w:val="005F4E06"/>
    <w:rsid w:val="005F4E3B"/>
    <w:rsid w:val="005F4FA0"/>
    <w:rsid w:val="005F50DB"/>
    <w:rsid w:val="005F5870"/>
    <w:rsid w:val="005F5B99"/>
    <w:rsid w:val="005F5E35"/>
    <w:rsid w:val="005F65BA"/>
    <w:rsid w:val="005F663F"/>
    <w:rsid w:val="005F6709"/>
    <w:rsid w:val="005F6F5A"/>
    <w:rsid w:val="005F6FF9"/>
    <w:rsid w:val="005F75D6"/>
    <w:rsid w:val="005F77AB"/>
    <w:rsid w:val="005F7A4C"/>
    <w:rsid w:val="005F7B19"/>
    <w:rsid w:val="005F7E09"/>
    <w:rsid w:val="005F7E25"/>
    <w:rsid w:val="006003AB"/>
    <w:rsid w:val="006004B5"/>
    <w:rsid w:val="00600C7D"/>
    <w:rsid w:val="00600DC1"/>
    <w:rsid w:val="00600DEF"/>
    <w:rsid w:val="00600E1E"/>
    <w:rsid w:val="00600E5F"/>
    <w:rsid w:val="00600E8C"/>
    <w:rsid w:val="006010D9"/>
    <w:rsid w:val="0060179C"/>
    <w:rsid w:val="00601802"/>
    <w:rsid w:val="006024E0"/>
    <w:rsid w:val="0060272A"/>
    <w:rsid w:val="0060294C"/>
    <w:rsid w:val="00602D01"/>
    <w:rsid w:val="0060311B"/>
    <w:rsid w:val="00603249"/>
    <w:rsid w:val="006036E3"/>
    <w:rsid w:val="00603956"/>
    <w:rsid w:val="0060398D"/>
    <w:rsid w:val="00603D15"/>
    <w:rsid w:val="00603F6D"/>
    <w:rsid w:val="006042B2"/>
    <w:rsid w:val="00604AC3"/>
    <w:rsid w:val="0060515C"/>
    <w:rsid w:val="00605CC7"/>
    <w:rsid w:val="0060611C"/>
    <w:rsid w:val="006063CE"/>
    <w:rsid w:val="00606643"/>
    <w:rsid w:val="0060686F"/>
    <w:rsid w:val="00607489"/>
    <w:rsid w:val="00607692"/>
    <w:rsid w:val="0060777B"/>
    <w:rsid w:val="00607B78"/>
    <w:rsid w:val="00610086"/>
    <w:rsid w:val="006103AE"/>
    <w:rsid w:val="006103E8"/>
    <w:rsid w:val="0061058A"/>
    <w:rsid w:val="00610683"/>
    <w:rsid w:val="00610D18"/>
    <w:rsid w:val="006112AD"/>
    <w:rsid w:val="006117C9"/>
    <w:rsid w:val="00611C1C"/>
    <w:rsid w:val="00611EF3"/>
    <w:rsid w:val="006124EF"/>
    <w:rsid w:val="00612629"/>
    <w:rsid w:val="006127BE"/>
    <w:rsid w:val="006136A4"/>
    <w:rsid w:val="006138F0"/>
    <w:rsid w:val="00613A5F"/>
    <w:rsid w:val="00613A86"/>
    <w:rsid w:val="00613DDE"/>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0DD"/>
    <w:rsid w:val="00621105"/>
    <w:rsid w:val="006211D6"/>
    <w:rsid w:val="006214BB"/>
    <w:rsid w:val="0062169D"/>
    <w:rsid w:val="006216C6"/>
    <w:rsid w:val="00621A1D"/>
    <w:rsid w:val="00621BC2"/>
    <w:rsid w:val="00621C6C"/>
    <w:rsid w:val="00621D20"/>
    <w:rsid w:val="006224B0"/>
    <w:rsid w:val="00622613"/>
    <w:rsid w:val="006229A4"/>
    <w:rsid w:val="006229CD"/>
    <w:rsid w:val="00622A18"/>
    <w:rsid w:val="00622FFF"/>
    <w:rsid w:val="006231FE"/>
    <w:rsid w:val="006234A9"/>
    <w:rsid w:val="0062359F"/>
    <w:rsid w:val="00623619"/>
    <w:rsid w:val="00623B95"/>
    <w:rsid w:val="00623C93"/>
    <w:rsid w:val="00623FB3"/>
    <w:rsid w:val="00624076"/>
    <w:rsid w:val="006240F3"/>
    <w:rsid w:val="006243C3"/>
    <w:rsid w:val="006243F1"/>
    <w:rsid w:val="006245D4"/>
    <w:rsid w:val="006245FD"/>
    <w:rsid w:val="00624657"/>
    <w:rsid w:val="0062475F"/>
    <w:rsid w:val="00624A49"/>
    <w:rsid w:val="00624A5D"/>
    <w:rsid w:val="00624DFF"/>
    <w:rsid w:val="00625253"/>
    <w:rsid w:val="0062532E"/>
    <w:rsid w:val="00625925"/>
    <w:rsid w:val="00625A0B"/>
    <w:rsid w:val="0062680E"/>
    <w:rsid w:val="006268DD"/>
    <w:rsid w:val="00626A96"/>
    <w:rsid w:val="00626B14"/>
    <w:rsid w:val="00626DDA"/>
    <w:rsid w:val="00626FC9"/>
    <w:rsid w:val="00627AE4"/>
    <w:rsid w:val="00627CE8"/>
    <w:rsid w:val="00627EC9"/>
    <w:rsid w:val="006303A8"/>
    <w:rsid w:val="0063069F"/>
    <w:rsid w:val="00630883"/>
    <w:rsid w:val="00630B15"/>
    <w:rsid w:val="00631412"/>
    <w:rsid w:val="00631B72"/>
    <w:rsid w:val="00631C89"/>
    <w:rsid w:val="00631EB7"/>
    <w:rsid w:val="006321E0"/>
    <w:rsid w:val="00632379"/>
    <w:rsid w:val="006323A4"/>
    <w:rsid w:val="0063270E"/>
    <w:rsid w:val="00632760"/>
    <w:rsid w:val="006329F5"/>
    <w:rsid w:val="00632BB1"/>
    <w:rsid w:val="00632BB9"/>
    <w:rsid w:val="00632C0D"/>
    <w:rsid w:val="00632CD1"/>
    <w:rsid w:val="00632D16"/>
    <w:rsid w:val="00633379"/>
    <w:rsid w:val="00633568"/>
    <w:rsid w:val="00633A32"/>
    <w:rsid w:val="00633A9B"/>
    <w:rsid w:val="00633B7D"/>
    <w:rsid w:val="006341C1"/>
    <w:rsid w:val="006344AD"/>
    <w:rsid w:val="00634611"/>
    <w:rsid w:val="006347B5"/>
    <w:rsid w:val="006349A2"/>
    <w:rsid w:val="00634D06"/>
    <w:rsid w:val="0063508F"/>
    <w:rsid w:val="006354B3"/>
    <w:rsid w:val="00635CB4"/>
    <w:rsid w:val="00635F1D"/>
    <w:rsid w:val="006360AF"/>
    <w:rsid w:val="00636140"/>
    <w:rsid w:val="00636249"/>
    <w:rsid w:val="0063632B"/>
    <w:rsid w:val="00636614"/>
    <w:rsid w:val="00636695"/>
    <w:rsid w:val="0063714F"/>
    <w:rsid w:val="006373B0"/>
    <w:rsid w:val="006379DB"/>
    <w:rsid w:val="00637DA6"/>
    <w:rsid w:val="00637FF3"/>
    <w:rsid w:val="00640223"/>
    <w:rsid w:val="00640504"/>
    <w:rsid w:val="0064051F"/>
    <w:rsid w:val="00640DF5"/>
    <w:rsid w:val="0064107F"/>
    <w:rsid w:val="006417B5"/>
    <w:rsid w:val="00641A2C"/>
    <w:rsid w:val="00641BFE"/>
    <w:rsid w:val="0064207A"/>
    <w:rsid w:val="0064285A"/>
    <w:rsid w:val="006429F3"/>
    <w:rsid w:val="00642BD0"/>
    <w:rsid w:val="00642C09"/>
    <w:rsid w:val="00642F05"/>
    <w:rsid w:val="0064301E"/>
    <w:rsid w:val="0064329D"/>
    <w:rsid w:val="0064365A"/>
    <w:rsid w:val="006436D7"/>
    <w:rsid w:val="00643900"/>
    <w:rsid w:val="00643FB4"/>
    <w:rsid w:val="00644773"/>
    <w:rsid w:val="006447C2"/>
    <w:rsid w:val="00645150"/>
    <w:rsid w:val="0064523F"/>
    <w:rsid w:val="00645317"/>
    <w:rsid w:val="0064536E"/>
    <w:rsid w:val="006457AB"/>
    <w:rsid w:val="006457C3"/>
    <w:rsid w:val="00645A0C"/>
    <w:rsid w:val="00645A20"/>
    <w:rsid w:val="00645C7F"/>
    <w:rsid w:val="00645F04"/>
    <w:rsid w:val="00646073"/>
    <w:rsid w:val="006461BE"/>
    <w:rsid w:val="0064636E"/>
    <w:rsid w:val="00646C6B"/>
    <w:rsid w:val="00647210"/>
    <w:rsid w:val="0064725D"/>
    <w:rsid w:val="00647321"/>
    <w:rsid w:val="00647470"/>
    <w:rsid w:val="0064759C"/>
    <w:rsid w:val="00647D54"/>
    <w:rsid w:val="0065032F"/>
    <w:rsid w:val="00650790"/>
    <w:rsid w:val="006508C4"/>
    <w:rsid w:val="00650C1A"/>
    <w:rsid w:val="00651272"/>
    <w:rsid w:val="0065134B"/>
    <w:rsid w:val="0065154E"/>
    <w:rsid w:val="00651668"/>
    <w:rsid w:val="00651A04"/>
    <w:rsid w:val="00651A3B"/>
    <w:rsid w:val="00651DB9"/>
    <w:rsid w:val="0065203A"/>
    <w:rsid w:val="00652230"/>
    <w:rsid w:val="00652261"/>
    <w:rsid w:val="0065250F"/>
    <w:rsid w:val="00652B55"/>
    <w:rsid w:val="00652CC4"/>
    <w:rsid w:val="00653317"/>
    <w:rsid w:val="00653609"/>
    <w:rsid w:val="006536DB"/>
    <w:rsid w:val="0065383B"/>
    <w:rsid w:val="00653B56"/>
    <w:rsid w:val="00653C56"/>
    <w:rsid w:val="00653C96"/>
    <w:rsid w:val="00654876"/>
    <w:rsid w:val="00655887"/>
    <w:rsid w:val="00655899"/>
    <w:rsid w:val="00655906"/>
    <w:rsid w:val="00655DBA"/>
    <w:rsid w:val="00655DD1"/>
    <w:rsid w:val="00655FE5"/>
    <w:rsid w:val="00656794"/>
    <w:rsid w:val="0065687E"/>
    <w:rsid w:val="00656B70"/>
    <w:rsid w:val="00656CF2"/>
    <w:rsid w:val="00656D01"/>
    <w:rsid w:val="00657196"/>
    <w:rsid w:val="0065762F"/>
    <w:rsid w:val="00657693"/>
    <w:rsid w:val="00657EC0"/>
    <w:rsid w:val="00657F47"/>
    <w:rsid w:val="0066086A"/>
    <w:rsid w:val="006609D3"/>
    <w:rsid w:val="00660A99"/>
    <w:rsid w:val="00660C8F"/>
    <w:rsid w:val="00661052"/>
    <w:rsid w:val="00661072"/>
    <w:rsid w:val="006613D1"/>
    <w:rsid w:val="00661696"/>
    <w:rsid w:val="006616C7"/>
    <w:rsid w:val="0066214F"/>
    <w:rsid w:val="00662252"/>
    <w:rsid w:val="00662D90"/>
    <w:rsid w:val="00662FD8"/>
    <w:rsid w:val="00663228"/>
    <w:rsid w:val="006635A0"/>
    <w:rsid w:val="006638E5"/>
    <w:rsid w:val="00663B55"/>
    <w:rsid w:val="00663C02"/>
    <w:rsid w:val="00664137"/>
    <w:rsid w:val="0066421E"/>
    <w:rsid w:val="00664313"/>
    <w:rsid w:val="00664474"/>
    <w:rsid w:val="0066456C"/>
    <w:rsid w:val="00664793"/>
    <w:rsid w:val="00664E01"/>
    <w:rsid w:val="0066538E"/>
    <w:rsid w:val="006656EC"/>
    <w:rsid w:val="00665A3A"/>
    <w:rsid w:val="0066605C"/>
    <w:rsid w:val="00666097"/>
    <w:rsid w:val="0066613D"/>
    <w:rsid w:val="00666693"/>
    <w:rsid w:val="00666724"/>
    <w:rsid w:val="00666E60"/>
    <w:rsid w:val="006670C6"/>
    <w:rsid w:val="0066720B"/>
    <w:rsid w:val="006676B3"/>
    <w:rsid w:val="00667806"/>
    <w:rsid w:val="006679BF"/>
    <w:rsid w:val="00667F11"/>
    <w:rsid w:val="00667FAE"/>
    <w:rsid w:val="00670478"/>
    <w:rsid w:val="00670516"/>
    <w:rsid w:val="006706D6"/>
    <w:rsid w:val="0067078E"/>
    <w:rsid w:val="00670A3E"/>
    <w:rsid w:val="00670BC1"/>
    <w:rsid w:val="00670E2B"/>
    <w:rsid w:val="00671064"/>
    <w:rsid w:val="00671187"/>
    <w:rsid w:val="00671669"/>
    <w:rsid w:val="0067168F"/>
    <w:rsid w:val="0067183D"/>
    <w:rsid w:val="00671C26"/>
    <w:rsid w:val="0067260C"/>
    <w:rsid w:val="0067263D"/>
    <w:rsid w:val="006726CA"/>
    <w:rsid w:val="00672738"/>
    <w:rsid w:val="006729B4"/>
    <w:rsid w:val="006729DC"/>
    <w:rsid w:val="006737EE"/>
    <w:rsid w:val="00673947"/>
    <w:rsid w:val="00673A00"/>
    <w:rsid w:val="00673BC3"/>
    <w:rsid w:val="006743D7"/>
    <w:rsid w:val="006753E9"/>
    <w:rsid w:val="0067557B"/>
    <w:rsid w:val="00675896"/>
    <w:rsid w:val="006763AD"/>
    <w:rsid w:val="00676487"/>
    <w:rsid w:val="00676598"/>
    <w:rsid w:val="006766C6"/>
    <w:rsid w:val="0067685A"/>
    <w:rsid w:val="00676E54"/>
    <w:rsid w:val="006770F0"/>
    <w:rsid w:val="00677617"/>
    <w:rsid w:val="006779AC"/>
    <w:rsid w:val="00677F7F"/>
    <w:rsid w:val="0068091D"/>
    <w:rsid w:val="00680AF1"/>
    <w:rsid w:val="00680AFC"/>
    <w:rsid w:val="00680BAA"/>
    <w:rsid w:val="00680CF5"/>
    <w:rsid w:val="00680E42"/>
    <w:rsid w:val="00680F97"/>
    <w:rsid w:val="0068105D"/>
    <w:rsid w:val="006810AB"/>
    <w:rsid w:val="006810F0"/>
    <w:rsid w:val="00681352"/>
    <w:rsid w:val="006817A4"/>
    <w:rsid w:val="00681964"/>
    <w:rsid w:val="00681BE9"/>
    <w:rsid w:val="00681DDA"/>
    <w:rsid w:val="00681E74"/>
    <w:rsid w:val="006820EB"/>
    <w:rsid w:val="006821D2"/>
    <w:rsid w:val="0068226C"/>
    <w:rsid w:val="006822C3"/>
    <w:rsid w:val="006824ED"/>
    <w:rsid w:val="0068316A"/>
    <w:rsid w:val="006831A6"/>
    <w:rsid w:val="006831C3"/>
    <w:rsid w:val="006834DE"/>
    <w:rsid w:val="00683584"/>
    <w:rsid w:val="006836F3"/>
    <w:rsid w:val="00684241"/>
    <w:rsid w:val="0068485D"/>
    <w:rsid w:val="006848F9"/>
    <w:rsid w:val="00684942"/>
    <w:rsid w:val="00684CB3"/>
    <w:rsid w:val="00684E15"/>
    <w:rsid w:val="006852B0"/>
    <w:rsid w:val="006857C4"/>
    <w:rsid w:val="00685B33"/>
    <w:rsid w:val="00685B83"/>
    <w:rsid w:val="00685CBB"/>
    <w:rsid w:val="006860E0"/>
    <w:rsid w:val="0068631E"/>
    <w:rsid w:val="0068639A"/>
    <w:rsid w:val="0068657B"/>
    <w:rsid w:val="0068665C"/>
    <w:rsid w:val="006866B1"/>
    <w:rsid w:val="00686CBF"/>
    <w:rsid w:val="006872CE"/>
    <w:rsid w:val="00687FBC"/>
    <w:rsid w:val="00690225"/>
    <w:rsid w:val="00690304"/>
    <w:rsid w:val="006904E3"/>
    <w:rsid w:val="0069050E"/>
    <w:rsid w:val="00690632"/>
    <w:rsid w:val="006908AF"/>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25"/>
    <w:rsid w:val="006941E3"/>
    <w:rsid w:val="0069428F"/>
    <w:rsid w:val="006943B8"/>
    <w:rsid w:val="0069450A"/>
    <w:rsid w:val="006945C0"/>
    <w:rsid w:val="00694826"/>
    <w:rsid w:val="00694C53"/>
    <w:rsid w:val="00694D48"/>
    <w:rsid w:val="00694EFB"/>
    <w:rsid w:val="006951D6"/>
    <w:rsid w:val="0069574E"/>
    <w:rsid w:val="00695910"/>
    <w:rsid w:val="00695B3D"/>
    <w:rsid w:val="00695E63"/>
    <w:rsid w:val="00695EB2"/>
    <w:rsid w:val="00696241"/>
    <w:rsid w:val="006973F4"/>
    <w:rsid w:val="00697C6B"/>
    <w:rsid w:val="00697E35"/>
    <w:rsid w:val="00697F71"/>
    <w:rsid w:val="006A028F"/>
    <w:rsid w:val="006A0294"/>
    <w:rsid w:val="006A048F"/>
    <w:rsid w:val="006A0706"/>
    <w:rsid w:val="006A07CA"/>
    <w:rsid w:val="006A0ED6"/>
    <w:rsid w:val="006A1007"/>
    <w:rsid w:val="006A141E"/>
    <w:rsid w:val="006A168C"/>
    <w:rsid w:val="006A16A6"/>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5EA5"/>
    <w:rsid w:val="006A620D"/>
    <w:rsid w:val="006A636F"/>
    <w:rsid w:val="006A63C9"/>
    <w:rsid w:val="006A6BCD"/>
    <w:rsid w:val="006A6FFC"/>
    <w:rsid w:val="006A705E"/>
    <w:rsid w:val="006A7107"/>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45"/>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6DEB"/>
    <w:rsid w:val="006B71DE"/>
    <w:rsid w:val="006B7454"/>
    <w:rsid w:val="006B761A"/>
    <w:rsid w:val="006B7711"/>
    <w:rsid w:val="006B7747"/>
    <w:rsid w:val="006B7954"/>
    <w:rsid w:val="006B79F2"/>
    <w:rsid w:val="006B79FA"/>
    <w:rsid w:val="006B7A13"/>
    <w:rsid w:val="006B7C65"/>
    <w:rsid w:val="006B7E6A"/>
    <w:rsid w:val="006B7F0A"/>
    <w:rsid w:val="006C0055"/>
    <w:rsid w:val="006C0249"/>
    <w:rsid w:val="006C037E"/>
    <w:rsid w:val="006C0669"/>
    <w:rsid w:val="006C0BCB"/>
    <w:rsid w:val="006C0CA8"/>
    <w:rsid w:val="006C1358"/>
    <w:rsid w:val="006C144B"/>
    <w:rsid w:val="006C16BD"/>
    <w:rsid w:val="006C1863"/>
    <w:rsid w:val="006C1EE9"/>
    <w:rsid w:val="006C23B0"/>
    <w:rsid w:val="006C24EE"/>
    <w:rsid w:val="006C2551"/>
    <w:rsid w:val="006C2823"/>
    <w:rsid w:val="006C295D"/>
    <w:rsid w:val="006C2A7F"/>
    <w:rsid w:val="006C2BFE"/>
    <w:rsid w:val="006C3157"/>
    <w:rsid w:val="006C3427"/>
    <w:rsid w:val="006C374D"/>
    <w:rsid w:val="006C3A58"/>
    <w:rsid w:val="006C3C39"/>
    <w:rsid w:val="006C3F49"/>
    <w:rsid w:val="006C4685"/>
    <w:rsid w:val="006C4965"/>
    <w:rsid w:val="006C4AB4"/>
    <w:rsid w:val="006C4CC7"/>
    <w:rsid w:val="006C544B"/>
    <w:rsid w:val="006C5489"/>
    <w:rsid w:val="006C5BC0"/>
    <w:rsid w:val="006C6692"/>
    <w:rsid w:val="006C6852"/>
    <w:rsid w:val="006C6A1E"/>
    <w:rsid w:val="006C6E0F"/>
    <w:rsid w:val="006C6E1A"/>
    <w:rsid w:val="006C76CE"/>
    <w:rsid w:val="006D0252"/>
    <w:rsid w:val="006D029F"/>
    <w:rsid w:val="006D0388"/>
    <w:rsid w:val="006D03D6"/>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3DCB"/>
    <w:rsid w:val="006D4087"/>
    <w:rsid w:val="006D45D4"/>
    <w:rsid w:val="006D4907"/>
    <w:rsid w:val="006D4DC0"/>
    <w:rsid w:val="006D5046"/>
    <w:rsid w:val="006D5219"/>
    <w:rsid w:val="006D5932"/>
    <w:rsid w:val="006D5966"/>
    <w:rsid w:val="006D5B81"/>
    <w:rsid w:val="006D5F77"/>
    <w:rsid w:val="006D5FC3"/>
    <w:rsid w:val="006D66F2"/>
    <w:rsid w:val="006D67C9"/>
    <w:rsid w:val="006D67E3"/>
    <w:rsid w:val="006D6806"/>
    <w:rsid w:val="006D696B"/>
    <w:rsid w:val="006D6C2D"/>
    <w:rsid w:val="006D6CEB"/>
    <w:rsid w:val="006D756D"/>
    <w:rsid w:val="006D7596"/>
    <w:rsid w:val="006D768F"/>
    <w:rsid w:val="006E0091"/>
    <w:rsid w:val="006E0478"/>
    <w:rsid w:val="006E057C"/>
    <w:rsid w:val="006E05B8"/>
    <w:rsid w:val="006E0694"/>
    <w:rsid w:val="006E0A78"/>
    <w:rsid w:val="006E0E70"/>
    <w:rsid w:val="006E14EA"/>
    <w:rsid w:val="006E15DD"/>
    <w:rsid w:val="006E18D4"/>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7D4"/>
    <w:rsid w:val="006E5DC1"/>
    <w:rsid w:val="006E65B9"/>
    <w:rsid w:val="006E683D"/>
    <w:rsid w:val="006E686C"/>
    <w:rsid w:val="006E68A6"/>
    <w:rsid w:val="006E691F"/>
    <w:rsid w:val="006E73FF"/>
    <w:rsid w:val="006E766F"/>
    <w:rsid w:val="006E777D"/>
    <w:rsid w:val="006E79EA"/>
    <w:rsid w:val="006E7AFF"/>
    <w:rsid w:val="006E7D78"/>
    <w:rsid w:val="006E7DF1"/>
    <w:rsid w:val="006F0048"/>
    <w:rsid w:val="006F016F"/>
    <w:rsid w:val="006F0263"/>
    <w:rsid w:val="006F05EC"/>
    <w:rsid w:val="006F08BE"/>
    <w:rsid w:val="006F08BF"/>
    <w:rsid w:val="006F09DF"/>
    <w:rsid w:val="006F09EB"/>
    <w:rsid w:val="006F0A35"/>
    <w:rsid w:val="006F16D0"/>
    <w:rsid w:val="006F1D68"/>
    <w:rsid w:val="006F2061"/>
    <w:rsid w:val="006F2280"/>
    <w:rsid w:val="006F2405"/>
    <w:rsid w:val="006F2423"/>
    <w:rsid w:val="006F2482"/>
    <w:rsid w:val="006F2BED"/>
    <w:rsid w:val="006F31A6"/>
    <w:rsid w:val="006F32AC"/>
    <w:rsid w:val="006F398D"/>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5CC"/>
    <w:rsid w:val="00701BA1"/>
    <w:rsid w:val="00701C11"/>
    <w:rsid w:val="00701F3B"/>
    <w:rsid w:val="007021AC"/>
    <w:rsid w:val="007024C6"/>
    <w:rsid w:val="0070265F"/>
    <w:rsid w:val="00702960"/>
    <w:rsid w:val="00702F8C"/>
    <w:rsid w:val="00703479"/>
    <w:rsid w:val="00703820"/>
    <w:rsid w:val="00703B1D"/>
    <w:rsid w:val="007048D6"/>
    <w:rsid w:val="00704A0C"/>
    <w:rsid w:val="00704ABC"/>
    <w:rsid w:val="00705222"/>
    <w:rsid w:val="0070558E"/>
    <w:rsid w:val="007056EA"/>
    <w:rsid w:val="007059DE"/>
    <w:rsid w:val="00705B5D"/>
    <w:rsid w:val="00705C03"/>
    <w:rsid w:val="0070610A"/>
    <w:rsid w:val="00706340"/>
    <w:rsid w:val="007064F4"/>
    <w:rsid w:val="007065A0"/>
    <w:rsid w:val="00706AAD"/>
    <w:rsid w:val="00706B43"/>
    <w:rsid w:val="00706B57"/>
    <w:rsid w:val="00706B6D"/>
    <w:rsid w:val="00706C1A"/>
    <w:rsid w:val="0070717B"/>
    <w:rsid w:val="00707655"/>
    <w:rsid w:val="00707871"/>
    <w:rsid w:val="0071011C"/>
    <w:rsid w:val="00710339"/>
    <w:rsid w:val="0071041F"/>
    <w:rsid w:val="007104ED"/>
    <w:rsid w:val="00710660"/>
    <w:rsid w:val="00710B28"/>
    <w:rsid w:val="00710F03"/>
    <w:rsid w:val="00711342"/>
    <w:rsid w:val="00711B6B"/>
    <w:rsid w:val="00711EE2"/>
    <w:rsid w:val="00712AC1"/>
    <w:rsid w:val="00712B70"/>
    <w:rsid w:val="00712BBF"/>
    <w:rsid w:val="00712C79"/>
    <w:rsid w:val="00712D1E"/>
    <w:rsid w:val="00713050"/>
    <w:rsid w:val="007130A8"/>
    <w:rsid w:val="007134CC"/>
    <w:rsid w:val="00713862"/>
    <w:rsid w:val="00713E30"/>
    <w:rsid w:val="00714087"/>
    <w:rsid w:val="00714CA8"/>
    <w:rsid w:val="007154B8"/>
    <w:rsid w:val="00715636"/>
    <w:rsid w:val="007159FC"/>
    <w:rsid w:val="00715A98"/>
    <w:rsid w:val="00716151"/>
    <w:rsid w:val="00716A9A"/>
    <w:rsid w:val="00716AC0"/>
    <w:rsid w:val="0071783E"/>
    <w:rsid w:val="00717E20"/>
    <w:rsid w:val="00717E9B"/>
    <w:rsid w:val="0072057C"/>
    <w:rsid w:val="007205C1"/>
    <w:rsid w:val="00720C40"/>
    <w:rsid w:val="00720D2B"/>
    <w:rsid w:val="0072146A"/>
    <w:rsid w:val="007216EE"/>
    <w:rsid w:val="007220CB"/>
    <w:rsid w:val="00722107"/>
    <w:rsid w:val="007233F9"/>
    <w:rsid w:val="00723461"/>
    <w:rsid w:val="00723522"/>
    <w:rsid w:val="00723A83"/>
    <w:rsid w:val="00723E2C"/>
    <w:rsid w:val="00724345"/>
    <w:rsid w:val="007243A3"/>
    <w:rsid w:val="00724483"/>
    <w:rsid w:val="0072469B"/>
    <w:rsid w:val="00724D72"/>
    <w:rsid w:val="00725027"/>
    <w:rsid w:val="00725A66"/>
    <w:rsid w:val="00725A73"/>
    <w:rsid w:val="0072600C"/>
    <w:rsid w:val="0072635F"/>
    <w:rsid w:val="00726CE8"/>
    <w:rsid w:val="00726E93"/>
    <w:rsid w:val="00726EA7"/>
    <w:rsid w:val="00726FF4"/>
    <w:rsid w:val="00727488"/>
    <w:rsid w:val="0072778A"/>
    <w:rsid w:val="00727DCC"/>
    <w:rsid w:val="00727EC9"/>
    <w:rsid w:val="0073038D"/>
    <w:rsid w:val="007305F5"/>
    <w:rsid w:val="00730626"/>
    <w:rsid w:val="00730970"/>
    <w:rsid w:val="00730B3C"/>
    <w:rsid w:val="00730B8E"/>
    <w:rsid w:val="00730EB1"/>
    <w:rsid w:val="0073118D"/>
    <w:rsid w:val="00731284"/>
    <w:rsid w:val="00731775"/>
    <w:rsid w:val="00731862"/>
    <w:rsid w:val="00731FE2"/>
    <w:rsid w:val="00732249"/>
    <w:rsid w:val="007324C5"/>
    <w:rsid w:val="00732B13"/>
    <w:rsid w:val="00732CFF"/>
    <w:rsid w:val="007337AB"/>
    <w:rsid w:val="007337C5"/>
    <w:rsid w:val="0073388D"/>
    <w:rsid w:val="00733B4C"/>
    <w:rsid w:val="00734093"/>
    <w:rsid w:val="007343B8"/>
    <w:rsid w:val="00734668"/>
    <w:rsid w:val="00734763"/>
    <w:rsid w:val="00734E21"/>
    <w:rsid w:val="007351A4"/>
    <w:rsid w:val="00735417"/>
    <w:rsid w:val="007354A6"/>
    <w:rsid w:val="00735CFC"/>
    <w:rsid w:val="00735F0E"/>
    <w:rsid w:val="00735FFA"/>
    <w:rsid w:val="0073626C"/>
    <w:rsid w:val="007365E4"/>
    <w:rsid w:val="00736916"/>
    <w:rsid w:val="00736DBB"/>
    <w:rsid w:val="00736DBF"/>
    <w:rsid w:val="00737267"/>
    <w:rsid w:val="00737AEF"/>
    <w:rsid w:val="00737CEA"/>
    <w:rsid w:val="007404F5"/>
    <w:rsid w:val="00740D1F"/>
    <w:rsid w:val="00741155"/>
    <w:rsid w:val="0074191C"/>
    <w:rsid w:val="00741A4F"/>
    <w:rsid w:val="00741AF9"/>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645"/>
    <w:rsid w:val="00745C20"/>
    <w:rsid w:val="00745E61"/>
    <w:rsid w:val="0074632E"/>
    <w:rsid w:val="007465AD"/>
    <w:rsid w:val="00746600"/>
    <w:rsid w:val="00746728"/>
    <w:rsid w:val="00746862"/>
    <w:rsid w:val="00746EAA"/>
    <w:rsid w:val="00747048"/>
    <w:rsid w:val="007470A9"/>
    <w:rsid w:val="00747E48"/>
    <w:rsid w:val="00747E54"/>
    <w:rsid w:val="007500B4"/>
    <w:rsid w:val="00750348"/>
    <w:rsid w:val="00750777"/>
    <w:rsid w:val="00750B37"/>
    <w:rsid w:val="00750D78"/>
    <w:rsid w:val="00750E22"/>
    <w:rsid w:val="00750E58"/>
    <w:rsid w:val="0075116E"/>
    <w:rsid w:val="00751316"/>
    <w:rsid w:val="0075144E"/>
    <w:rsid w:val="00751560"/>
    <w:rsid w:val="0075191F"/>
    <w:rsid w:val="00751A83"/>
    <w:rsid w:val="00751C01"/>
    <w:rsid w:val="00751D3A"/>
    <w:rsid w:val="00751D4E"/>
    <w:rsid w:val="00751DBB"/>
    <w:rsid w:val="007523FF"/>
    <w:rsid w:val="00752516"/>
    <w:rsid w:val="00752792"/>
    <w:rsid w:val="007527B8"/>
    <w:rsid w:val="007529BC"/>
    <w:rsid w:val="00752DFD"/>
    <w:rsid w:val="00753112"/>
    <w:rsid w:val="00753666"/>
    <w:rsid w:val="00753782"/>
    <w:rsid w:val="00753AF1"/>
    <w:rsid w:val="00753C2D"/>
    <w:rsid w:val="0075446E"/>
    <w:rsid w:val="0075518F"/>
    <w:rsid w:val="0075553F"/>
    <w:rsid w:val="00755664"/>
    <w:rsid w:val="007557CC"/>
    <w:rsid w:val="0075596F"/>
    <w:rsid w:val="00755BAD"/>
    <w:rsid w:val="00755CCC"/>
    <w:rsid w:val="00755D28"/>
    <w:rsid w:val="00755D88"/>
    <w:rsid w:val="007561CF"/>
    <w:rsid w:val="00756260"/>
    <w:rsid w:val="00756275"/>
    <w:rsid w:val="00756F82"/>
    <w:rsid w:val="0075709B"/>
    <w:rsid w:val="007574D9"/>
    <w:rsid w:val="0075788B"/>
    <w:rsid w:val="007600F0"/>
    <w:rsid w:val="007605EB"/>
    <w:rsid w:val="00760653"/>
    <w:rsid w:val="00760988"/>
    <w:rsid w:val="007609AA"/>
    <w:rsid w:val="00760D31"/>
    <w:rsid w:val="00760D93"/>
    <w:rsid w:val="007612AA"/>
    <w:rsid w:val="00761953"/>
    <w:rsid w:val="00761ADF"/>
    <w:rsid w:val="00761BFB"/>
    <w:rsid w:val="007620F1"/>
    <w:rsid w:val="00762188"/>
    <w:rsid w:val="00762883"/>
    <w:rsid w:val="00762AE0"/>
    <w:rsid w:val="0076316D"/>
    <w:rsid w:val="00763429"/>
    <w:rsid w:val="00763803"/>
    <w:rsid w:val="00763F14"/>
    <w:rsid w:val="00764AE0"/>
    <w:rsid w:val="00764BCB"/>
    <w:rsid w:val="007654CD"/>
    <w:rsid w:val="007655B0"/>
    <w:rsid w:val="007656E7"/>
    <w:rsid w:val="00765C30"/>
    <w:rsid w:val="00765EAB"/>
    <w:rsid w:val="00766295"/>
    <w:rsid w:val="0076650B"/>
    <w:rsid w:val="0076694B"/>
    <w:rsid w:val="00766B31"/>
    <w:rsid w:val="00766BCB"/>
    <w:rsid w:val="00766BDF"/>
    <w:rsid w:val="00766C3D"/>
    <w:rsid w:val="00766C86"/>
    <w:rsid w:val="00766DAA"/>
    <w:rsid w:val="00767420"/>
    <w:rsid w:val="007674A4"/>
    <w:rsid w:val="00767A2A"/>
    <w:rsid w:val="00767CC7"/>
    <w:rsid w:val="00767D8D"/>
    <w:rsid w:val="00770BF9"/>
    <w:rsid w:val="007712FC"/>
    <w:rsid w:val="00771A6E"/>
    <w:rsid w:val="00771A81"/>
    <w:rsid w:val="00771DDB"/>
    <w:rsid w:val="00772178"/>
    <w:rsid w:val="00772B65"/>
    <w:rsid w:val="00772CAB"/>
    <w:rsid w:val="00773061"/>
    <w:rsid w:val="00773105"/>
    <w:rsid w:val="007738B5"/>
    <w:rsid w:val="00773E43"/>
    <w:rsid w:val="00774033"/>
    <w:rsid w:val="0077411E"/>
    <w:rsid w:val="0077469D"/>
    <w:rsid w:val="00774E99"/>
    <w:rsid w:val="00775263"/>
    <w:rsid w:val="007755D9"/>
    <w:rsid w:val="00775645"/>
    <w:rsid w:val="007756AC"/>
    <w:rsid w:val="007765F2"/>
    <w:rsid w:val="00776B4A"/>
    <w:rsid w:val="00776B78"/>
    <w:rsid w:val="00776C63"/>
    <w:rsid w:val="00776D97"/>
    <w:rsid w:val="00777027"/>
    <w:rsid w:val="007774E9"/>
    <w:rsid w:val="00777C22"/>
    <w:rsid w:val="00777EA7"/>
    <w:rsid w:val="00777F4D"/>
    <w:rsid w:val="0078047B"/>
    <w:rsid w:val="00780678"/>
    <w:rsid w:val="00780933"/>
    <w:rsid w:val="00780A92"/>
    <w:rsid w:val="00780BEF"/>
    <w:rsid w:val="00780C80"/>
    <w:rsid w:val="00780CFF"/>
    <w:rsid w:val="00781174"/>
    <w:rsid w:val="0078160B"/>
    <w:rsid w:val="007816B9"/>
    <w:rsid w:val="0078178E"/>
    <w:rsid w:val="007823CC"/>
    <w:rsid w:val="0078284F"/>
    <w:rsid w:val="00782B23"/>
    <w:rsid w:val="00782B63"/>
    <w:rsid w:val="00782F3F"/>
    <w:rsid w:val="00783651"/>
    <w:rsid w:val="00783A8F"/>
    <w:rsid w:val="00783FA8"/>
    <w:rsid w:val="00784029"/>
    <w:rsid w:val="00784CE8"/>
    <w:rsid w:val="00784EE7"/>
    <w:rsid w:val="007850E8"/>
    <w:rsid w:val="0078564F"/>
    <w:rsid w:val="00785944"/>
    <w:rsid w:val="00785A1C"/>
    <w:rsid w:val="00785CBD"/>
    <w:rsid w:val="00785E05"/>
    <w:rsid w:val="00786807"/>
    <w:rsid w:val="0078682E"/>
    <w:rsid w:val="00786916"/>
    <w:rsid w:val="00787052"/>
    <w:rsid w:val="00787274"/>
    <w:rsid w:val="00787286"/>
    <w:rsid w:val="0078747B"/>
    <w:rsid w:val="00787697"/>
    <w:rsid w:val="0078782D"/>
    <w:rsid w:val="0078792F"/>
    <w:rsid w:val="00787A6A"/>
    <w:rsid w:val="00787CD9"/>
    <w:rsid w:val="00790046"/>
    <w:rsid w:val="007906FF"/>
    <w:rsid w:val="007909DE"/>
    <w:rsid w:val="00790F26"/>
    <w:rsid w:val="00791279"/>
    <w:rsid w:val="00791B59"/>
    <w:rsid w:val="00791E8B"/>
    <w:rsid w:val="0079207A"/>
    <w:rsid w:val="007924F2"/>
    <w:rsid w:val="00792CE6"/>
    <w:rsid w:val="00792F87"/>
    <w:rsid w:val="00792FBB"/>
    <w:rsid w:val="00792FF9"/>
    <w:rsid w:val="007938A0"/>
    <w:rsid w:val="00793ECD"/>
    <w:rsid w:val="007947DD"/>
    <w:rsid w:val="007948F3"/>
    <w:rsid w:val="007949BE"/>
    <w:rsid w:val="00794AFA"/>
    <w:rsid w:val="0079556C"/>
    <w:rsid w:val="00795726"/>
    <w:rsid w:val="0079574A"/>
    <w:rsid w:val="007959E4"/>
    <w:rsid w:val="00795A5A"/>
    <w:rsid w:val="00795DFD"/>
    <w:rsid w:val="00796226"/>
    <w:rsid w:val="00796599"/>
    <w:rsid w:val="0079685F"/>
    <w:rsid w:val="007974E8"/>
    <w:rsid w:val="00797530"/>
    <w:rsid w:val="007978D7"/>
    <w:rsid w:val="00797906"/>
    <w:rsid w:val="00797B97"/>
    <w:rsid w:val="00797D98"/>
    <w:rsid w:val="00797E30"/>
    <w:rsid w:val="007A003E"/>
    <w:rsid w:val="007A087A"/>
    <w:rsid w:val="007A0B67"/>
    <w:rsid w:val="007A0CAE"/>
    <w:rsid w:val="007A0E5B"/>
    <w:rsid w:val="007A10D0"/>
    <w:rsid w:val="007A1611"/>
    <w:rsid w:val="007A190C"/>
    <w:rsid w:val="007A1AD7"/>
    <w:rsid w:val="007A2327"/>
    <w:rsid w:val="007A23EE"/>
    <w:rsid w:val="007A25BD"/>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38"/>
    <w:rsid w:val="007A5C7E"/>
    <w:rsid w:val="007A601E"/>
    <w:rsid w:val="007A6634"/>
    <w:rsid w:val="007A68B6"/>
    <w:rsid w:val="007A6A39"/>
    <w:rsid w:val="007A6C9B"/>
    <w:rsid w:val="007A7A39"/>
    <w:rsid w:val="007A7B8B"/>
    <w:rsid w:val="007A7D04"/>
    <w:rsid w:val="007B0249"/>
    <w:rsid w:val="007B07D1"/>
    <w:rsid w:val="007B09DB"/>
    <w:rsid w:val="007B0A06"/>
    <w:rsid w:val="007B0A69"/>
    <w:rsid w:val="007B0B75"/>
    <w:rsid w:val="007B1023"/>
    <w:rsid w:val="007B18AE"/>
    <w:rsid w:val="007B1BC8"/>
    <w:rsid w:val="007B1F35"/>
    <w:rsid w:val="007B2094"/>
    <w:rsid w:val="007B245B"/>
    <w:rsid w:val="007B249B"/>
    <w:rsid w:val="007B282C"/>
    <w:rsid w:val="007B2C35"/>
    <w:rsid w:val="007B2E9F"/>
    <w:rsid w:val="007B34F6"/>
    <w:rsid w:val="007B370F"/>
    <w:rsid w:val="007B3790"/>
    <w:rsid w:val="007B3F98"/>
    <w:rsid w:val="007B409A"/>
    <w:rsid w:val="007B4227"/>
    <w:rsid w:val="007B480E"/>
    <w:rsid w:val="007B4A78"/>
    <w:rsid w:val="007B4E44"/>
    <w:rsid w:val="007B4E90"/>
    <w:rsid w:val="007B6644"/>
    <w:rsid w:val="007B67D5"/>
    <w:rsid w:val="007B6978"/>
    <w:rsid w:val="007B74D3"/>
    <w:rsid w:val="007B75EF"/>
    <w:rsid w:val="007C07E2"/>
    <w:rsid w:val="007C0A32"/>
    <w:rsid w:val="007C0EFB"/>
    <w:rsid w:val="007C0FED"/>
    <w:rsid w:val="007C1280"/>
    <w:rsid w:val="007C17BE"/>
    <w:rsid w:val="007C1AD8"/>
    <w:rsid w:val="007C1F7A"/>
    <w:rsid w:val="007C2098"/>
    <w:rsid w:val="007C235A"/>
    <w:rsid w:val="007C27B1"/>
    <w:rsid w:val="007C2E8B"/>
    <w:rsid w:val="007C3009"/>
    <w:rsid w:val="007C34F7"/>
    <w:rsid w:val="007C3506"/>
    <w:rsid w:val="007C4060"/>
    <w:rsid w:val="007C4109"/>
    <w:rsid w:val="007C4126"/>
    <w:rsid w:val="007C4530"/>
    <w:rsid w:val="007C48BB"/>
    <w:rsid w:val="007C48FD"/>
    <w:rsid w:val="007C4A6F"/>
    <w:rsid w:val="007C4C87"/>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66F"/>
    <w:rsid w:val="007C7A87"/>
    <w:rsid w:val="007D0235"/>
    <w:rsid w:val="007D037D"/>
    <w:rsid w:val="007D0572"/>
    <w:rsid w:val="007D06FB"/>
    <w:rsid w:val="007D0751"/>
    <w:rsid w:val="007D0DBC"/>
    <w:rsid w:val="007D106F"/>
    <w:rsid w:val="007D15C1"/>
    <w:rsid w:val="007D1CD2"/>
    <w:rsid w:val="007D217D"/>
    <w:rsid w:val="007D2240"/>
    <w:rsid w:val="007D2544"/>
    <w:rsid w:val="007D29E2"/>
    <w:rsid w:val="007D2ABC"/>
    <w:rsid w:val="007D2C14"/>
    <w:rsid w:val="007D2C6E"/>
    <w:rsid w:val="007D31CA"/>
    <w:rsid w:val="007D3B1C"/>
    <w:rsid w:val="007D3C51"/>
    <w:rsid w:val="007D3D16"/>
    <w:rsid w:val="007D3F26"/>
    <w:rsid w:val="007D45A4"/>
    <w:rsid w:val="007D4F2D"/>
    <w:rsid w:val="007D51E4"/>
    <w:rsid w:val="007D5615"/>
    <w:rsid w:val="007D5A0D"/>
    <w:rsid w:val="007D5AB6"/>
    <w:rsid w:val="007D5BEA"/>
    <w:rsid w:val="007D60CF"/>
    <w:rsid w:val="007D64AF"/>
    <w:rsid w:val="007D6B88"/>
    <w:rsid w:val="007D7210"/>
    <w:rsid w:val="007D7D46"/>
    <w:rsid w:val="007E023C"/>
    <w:rsid w:val="007E07D5"/>
    <w:rsid w:val="007E09CD"/>
    <w:rsid w:val="007E0A88"/>
    <w:rsid w:val="007E127C"/>
    <w:rsid w:val="007E1350"/>
    <w:rsid w:val="007E13AF"/>
    <w:rsid w:val="007E175A"/>
    <w:rsid w:val="007E1849"/>
    <w:rsid w:val="007E18D1"/>
    <w:rsid w:val="007E195B"/>
    <w:rsid w:val="007E1E24"/>
    <w:rsid w:val="007E1E3E"/>
    <w:rsid w:val="007E1E62"/>
    <w:rsid w:val="007E1EB2"/>
    <w:rsid w:val="007E1F4C"/>
    <w:rsid w:val="007E20FB"/>
    <w:rsid w:val="007E21B2"/>
    <w:rsid w:val="007E2240"/>
    <w:rsid w:val="007E2A12"/>
    <w:rsid w:val="007E2FA1"/>
    <w:rsid w:val="007E3699"/>
    <w:rsid w:val="007E39CE"/>
    <w:rsid w:val="007E3C23"/>
    <w:rsid w:val="007E3D65"/>
    <w:rsid w:val="007E3EE5"/>
    <w:rsid w:val="007E3FF5"/>
    <w:rsid w:val="007E4BA0"/>
    <w:rsid w:val="007E4D95"/>
    <w:rsid w:val="007E4DF0"/>
    <w:rsid w:val="007E54D4"/>
    <w:rsid w:val="007E56A0"/>
    <w:rsid w:val="007E62ED"/>
    <w:rsid w:val="007E6767"/>
    <w:rsid w:val="007E6C79"/>
    <w:rsid w:val="007E7000"/>
    <w:rsid w:val="007E702B"/>
    <w:rsid w:val="007E7098"/>
    <w:rsid w:val="007E71EC"/>
    <w:rsid w:val="007E7720"/>
    <w:rsid w:val="007E7B56"/>
    <w:rsid w:val="007E7E62"/>
    <w:rsid w:val="007E7F56"/>
    <w:rsid w:val="007F007B"/>
    <w:rsid w:val="007F022F"/>
    <w:rsid w:val="007F0389"/>
    <w:rsid w:val="007F0880"/>
    <w:rsid w:val="007F0BC5"/>
    <w:rsid w:val="007F0EE2"/>
    <w:rsid w:val="007F1047"/>
    <w:rsid w:val="007F1416"/>
    <w:rsid w:val="007F1578"/>
    <w:rsid w:val="007F1A6B"/>
    <w:rsid w:val="007F1ECC"/>
    <w:rsid w:val="007F2167"/>
    <w:rsid w:val="007F2250"/>
    <w:rsid w:val="007F2473"/>
    <w:rsid w:val="007F275E"/>
    <w:rsid w:val="007F27C6"/>
    <w:rsid w:val="007F29D2"/>
    <w:rsid w:val="007F3114"/>
    <w:rsid w:val="007F3139"/>
    <w:rsid w:val="007F3279"/>
    <w:rsid w:val="007F36CC"/>
    <w:rsid w:val="007F39D3"/>
    <w:rsid w:val="007F3C02"/>
    <w:rsid w:val="007F40FB"/>
    <w:rsid w:val="007F411C"/>
    <w:rsid w:val="007F4169"/>
    <w:rsid w:val="007F44B1"/>
    <w:rsid w:val="007F44FC"/>
    <w:rsid w:val="007F48FE"/>
    <w:rsid w:val="007F4A58"/>
    <w:rsid w:val="007F4B68"/>
    <w:rsid w:val="007F4B7F"/>
    <w:rsid w:val="007F4C54"/>
    <w:rsid w:val="007F4D33"/>
    <w:rsid w:val="007F50E9"/>
    <w:rsid w:val="007F5409"/>
    <w:rsid w:val="007F5415"/>
    <w:rsid w:val="007F54E0"/>
    <w:rsid w:val="007F59A9"/>
    <w:rsid w:val="007F6BED"/>
    <w:rsid w:val="007F736B"/>
    <w:rsid w:val="007F7507"/>
    <w:rsid w:val="007F77FD"/>
    <w:rsid w:val="00800405"/>
    <w:rsid w:val="008009A9"/>
    <w:rsid w:val="00800ADC"/>
    <w:rsid w:val="00800B7A"/>
    <w:rsid w:val="008010FB"/>
    <w:rsid w:val="00801407"/>
    <w:rsid w:val="00801555"/>
    <w:rsid w:val="00801615"/>
    <w:rsid w:val="008019F4"/>
    <w:rsid w:val="00801A8C"/>
    <w:rsid w:val="00801FDF"/>
    <w:rsid w:val="008023C3"/>
    <w:rsid w:val="00802A2C"/>
    <w:rsid w:val="00802BD7"/>
    <w:rsid w:val="00802C35"/>
    <w:rsid w:val="00803173"/>
    <w:rsid w:val="008031F7"/>
    <w:rsid w:val="00803820"/>
    <w:rsid w:val="00803B78"/>
    <w:rsid w:val="00803D1C"/>
    <w:rsid w:val="00803D57"/>
    <w:rsid w:val="008044EA"/>
    <w:rsid w:val="008045DF"/>
    <w:rsid w:val="008048A1"/>
    <w:rsid w:val="00804A38"/>
    <w:rsid w:val="00804CE2"/>
    <w:rsid w:val="00804D23"/>
    <w:rsid w:val="00804DC6"/>
    <w:rsid w:val="00804DF4"/>
    <w:rsid w:val="00804F8F"/>
    <w:rsid w:val="008051F1"/>
    <w:rsid w:val="008058A1"/>
    <w:rsid w:val="00805921"/>
    <w:rsid w:val="00805A13"/>
    <w:rsid w:val="00805AD5"/>
    <w:rsid w:val="00805BF5"/>
    <w:rsid w:val="0080607C"/>
    <w:rsid w:val="008063CD"/>
    <w:rsid w:val="00806955"/>
    <w:rsid w:val="008069D1"/>
    <w:rsid w:val="00806CF7"/>
    <w:rsid w:val="0080768B"/>
    <w:rsid w:val="008079FD"/>
    <w:rsid w:val="00807BC6"/>
    <w:rsid w:val="00807D95"/>
    <w:rsid w:val="00807E7F"/>
    <w:rsid w:val="00807EE8"/>
    <w:rsid w:val="00810286"/>
    <w:rsid w:val="008102A3"/>
    <w:rsid w:val="008105E8"/>
    <w:rsid w:val="0081063D"/>
    <w:rsid w:val="00810D4C"/>
    <w:rsid w:val="008113BF"/>
    <w:rsid w:val="008118B6"/>
    <w:rsid w:val="0081195D"/>
    <w:rsid w:val="00811962"/>
    <w:rsid w:val="00811CBC"/>
    <w:rsid w:val="008123AF"/>
    <w:rsid w:val="00812A80"/>
    <w:rsid w:val="00813270"/>
    <w:rsid w:val="008133A0"/>
    <w:rsid w:val="0081363C"/>
    <w:rsid w:val="008138F6"/>
    <w:rsid w:val="008139FE"/>
    <w:rsid w:val="00813DCC"/>
    <w:rsid w:val="00813DED"/>
    <w:rsid w:val="0081455C"/>
    <w:rsid w:val="0081485A"/>
    <w:rsid w:val="00814AA2"/>
    <w:rsid w:val="00814E1E"/>
    <w:rsid w:val="00814FC0"/>
    <w:rsid w:val="00815203"/>
    <w:rsid w:val="008154EC"/>
    <w:rsid w:val="00815625"/>
    <w:rsid w:val="008156AC"/>
    <w:rsid w:val="00815C4B"/>
    <w:rsid w:val="00816430"/>
    <w:rsid w:val="0081664C"/>
    <w:rsid w:val="00816A09"/>
    <w:rsid w:val="00816DDB"/>
    <w:rsid w:val="00817210"/>
    <w:rsid w:val="0081757B"/>
    <w:rsid w:val="008175C7"/>
    <w:rsid w:val="00817635"/>
    <w:rsid w:val="00817840"/>
    <w:rsid w:val="008178B1"/>
    <w:rsid w:val="00817B77"/>
    <w:rsid w:val="00817CCF"/>
    <w:rsid w:val="0082024B"/>
    <w:rsid w:val="0082032E"/>
    <w:rsid w:val="00820370"/>
    <w:rsid w:val="008204AA"/>
    <w:rsid w:val="00820E7C"/>
    <w:rsid w:val="00821817"/>
    <w:rsid w:val="008219D4"/>
    <w:rsid w:val="00821DAD"/>
    <w:rsid w:val="00822074"/>
    <w:rsid w:val="00822151"/>
    <w:rsid w:val="0082231C"/>
    <w:rsid w:val="0082263A"/>
    <w:rsid w:val="008227F7"/>
    <w:rsid w:val="00822D02"/>
    <w:rsid w:val="00822E4F"/>
    <w:rsid w:val="00823011"/>
    <w:rsid w:val="00823225"/>
    <w:rsid w:val="00823798"/>
    <w:rsid w:val="00823887"/>
    <w:rsid w:val="00823B6C"/>
    <w:rsid w:val="00823C4C"/>
    <w:rsid w:val="00823EF9"/>
    <w:rsid w:val="00823FE7"/>
    <w:rsid w:val="008241C0"/>
    <w:rsid w:val="00824E46"/>
    <w:rsid w:val="00825894"/>
    <w:rsid w:val="00825FFB"/>
    <w:rsid w:val="008260F6"/>
    <w:rsid w:val="00826655"/>
    <w:rsid w:val="00826708"/>
    <w:rsid w:val="00826AF8"/>
    <w:rsid w:val="00826B5B"/>
    <w:rsid w:val="00826D96"/>
    <w:rsid w:val="00826DDE"/>
    <w:rsid w:val="00826F09"/>
    <w:rsid w:val="00827091"/>
    <w:rsid w:val="008270BC"/>
    <w:rsid w:val="00827306"/>
    <w:rsid w:val="00827491"/>
    <w:rsid w:val="00827875"/>
    <w:rsid w:val="00827FB7"/>
    <w:rsid w:val="0083046B"/>
    <w:rsid w:val="00830BE3"/>
    <w:rsid w:val="00830D68"/>
    <w:rsid w:val="0083139B"/>
    <w:rsid w:val="0083157D"/>
    <w:rsid w:val="0083196E"/>
    <w:rsid w:val="00831BDA"/>
    <w:rsid w:val="00831BE5"/>
    <w:rsid w:val="008323CC"/>
    <w:rsid w:val="0083281E"/>
    <w:rsid w:val="00832DCF"/>
    <w:rsid w:val="00832E14"/>
    <w:rsid w:val="008330D8"/>
    <w:rsid w:val="008335AA"/>
    <w:rsid w:val="00833631"/>
    <w:rsid w:val="00833963"/>
    <w:rsid w:val="00833C17"/>
    <w:rsid w:val="00834082"/>
    <w:rsid w:val="0083414F"/>
    <w:rsid w:val="00834932"/>
    <w:rsid w:val="00834AF7"/>
    <w:rsid w:val="00834B11"/>
    <w:rsid w:val="00834EC2"/>
    <w:rsid w:val="00834ED1"/>
    <w:rsid w:val="0083510E"/>
    <w:rsid w:val="008356CE"/>
    <w:rsid w:val="008359EA"/>
    <w:rsid w:val="00835D5B"/>
    <w:rsid w:val="0083639C"/>
    <w:rsid w:val="00836680"/>
    <w:rsid w:val="0083688D"/>
    <w:rsid w:val="00836BD4"/>
    <w:rsid w:val="00837197"/>
    <w:rsid w:val="00837332"/>
    <w:rsid w:val="00837E21"/>
    <w:rsid w:val="00837E55"/>
    <w:rsid w:val="00837FC3"/>
    <w:rsid w:val="0084016D"/>
    <w:rsid w:val="008407CD"/>
    <w:rsid w:val="00840B01"/>
    <w:rsid w:val="0084137C"/>
    <w:rsid w:val="0084163F"/>
    <w:rsid w:val="008419CA"/>
    <w:rsid w:val="00842619"/>
    <w:rsid w:val="00842752"/>
    <w:rsid w:val="008427D2"/>
    <w:rsid w:val="00842975"/>
    <w:rsid w:val="00842AFA"/>
    <w:rsid w:val="00842DFC"/>
    <w:rsid w:val="00843146"/>
    <w:rsid w:val="008431DA"/>
    <w:rsid w:val="008433D2"/>
    <w:rsid w:val="00843496"/>
    <w:rsid w:val="00843509"/>
    <w:rsid w:val="008437BF"/>
    <w:rsid w:val="00844232"/>
    <w:rsid w:val="00844483"/>
    <w:rsid w:val="00844CB2"/>
    <w:rsid w:val="00844E54"/>
    <w:rsid w:val="00844F8A"/>
    <w:rsid w:val="00845D77"/>
    <w:rsid w:val="00845E4F"/>
    <w:rsid w:val="00845EE7"/>
    <w:rsid w:val="00845FA2"/>
    <w:rsid w:val="00846592"/>
    <w:rsid w:val="00846627"/>
    <w:rsid w:val="00846919"/>
    <w:rsid w:val="00846C28"/>
    <w:rsid w:val="00846C68"/>
    <w:rsid w:val="00846EC0"/>
    <w:rsid w:val="0084703F"/>
    <w:rsid w:val="00847292"/>
    <w:rsid w:val="0084790D"/>
    <w:rsid w:val="00847C89"/>
    <w:rsid w:val="008506AD"/>
    <w:rsid w:val="008506C1"/>
    <w:rsid w:val="0085076B"/>
    <w:rsid w:val="00850BA9"/>
    <w:rsid w:val="00850EEE"/>
    <w:rsid w:val="00851078"/>
    <w:rsid w:val="0085125B"/>
    <w:rsid w:val="00851302"/>
    <w:rsid w:val="0085192C"/>
    <w:rsid w:val="00851BF2"/>
    <w:rsid w:val="00851DE0"/>
    <w:rsid w:val="008520E6"/>
    <w:rsid w:val="00852800"/>
    <w:rsid w:val="00852A93"/>
    <w:rsid w:val="00852EDE"/>
    <w:rsid w:val="008532E1"/>
    <w:rsid w:val="00853320"/>
    <w:rsid w:val="00853544"/>
    <w:rsid w:val="00853A03"/>
    <w:rsid w:val="00853A99"/>
    <w:rsid w:val="00853C42"/>
    <w:rsid w:val="00853D9A"/>
    <w:rsid w:val="00853DE9"/>
    <w:rsid w:val="00853F90"/>
    <w:rsid w:val="0085432D"/>
    <w:rsid w:val="00854426"/>
    <w:rsid w:val="00854447"/>
    <w:rsid w:val="0085489E"/>
    <w:rsid w:val="00854A3B"/>
    <w:rsid w:val="00854C80"/>
    <w:rsid w:val="00854EEE"/>
    <w:rsid w:val="00854F8C"/>
    <w:rsid w:val="008551F5"/>
    <w:rsid w:val="00855D3B"/>
    <w:rsid w:val="00855ECC"/>
    <w:rsid w:val="008562FD"/>
    <w:rsid w:val="0085666A"/>
    <w:rsid w:val="0085671E"/>
    <w:rsid w:val="00856982"/>
    <w:rsid w:val="00856CED"/>
    <w:rsid w:val="00856E2B"/>
    <w:rsid w:val="00857392"/>
    <w:rsid w:val="0085787B"/>
    <w:rsid w:val="00857CAA"/>
    <w:rsid w:val="00857D6C"/>
    <w:rsid w:val="00860B3D"/>
    <w:rsid w:val="00860D04"/>
    <w:rsid w:val="00860DA8"/>
    <w:rsid w:val="00861041"/>
    <w:rsid w:val="00861063"/>
    <w:rsid w:val="008611C8"/>
    <w:rsid w:val="00861367"/>
    <w:rsid w:val="0086182B"/>
    <w:rsid w:val="0086182C"/>
    <w:rsid w:val="0086189E"/>
    <w:rsid w:val="00861A20"/>
    <w:rsid w:val="00861C21"/>
    <w:rsid w:val="008629E9"/>
    <w:rsid w:val="00862F6A"/>
    <w:rsid w:val="00862F88"/>
    <w:rsid w:val="00862FBA"/>
    <w:rsid w:val="00863041"/>
    <w:rsid w:val="00863271"/>
    <w:rsid w:val="00863355"/>
    <w:rsid w:val="008633A5"/>
    <w:rsid w:val="00864118"/>
    <w:rsid w:val="008643E7"/>
    <w:rsid w:val="00864728"/>
    <w:rsid w:val="00864B4D"/>
    <w:rsid w:val="00864D19"/>
    <w:rsid w:val="008651D9"/>
    <w:rsid w:val="0086523F"/>
    <w:rsid w:val="008657B4"/>
    <w:rsid w:val="0086582C"/>
    <w:rsid w:val="00865A78"/>
    <w:rsid w:val="00865C9F"/>
    <w:rsid w:val="00865E46"/>
    <w:rsid w:val="008666DB"/>
    <w:rsid w:val="00866F41"/>
    <w:rsid w:val="008677E3"/>
    <w:rsid w:val="00867C73"/>
    <w:rsid w:val="00867E35"/>
    <w:rsid w:val="00867F7F"/>
    <w:rsid w:val="008704A8"/>
    <w:rsid w:val="008705D7"/>
    <w:rsid w:val="0087089E"/>
    <w:rsid w:val="008709F8"/>
    <w:rsid w:val="00870D18"/>
    <w:rsid w:val="008711E3"/>
    <w:rsid w:val="00871230"/>
    <w:rsid w:val="008715C8"/>
    <w:rsid w:val="00871B7D"/>
    <w:rsid w:val="00871CEC"/>
    <w:rsid w:val="00871D8A"/>
    <w:rsid w:val="00871EBA"/>
    <w:rsid w:val="0087248E"/>
    <w:rsid w:val="008726AB"/>
    <w:rsid w:val="00872757"/>
    <w:rsid w:val="00872970"/>
    <w:rsid w:val="008729BC"/>
    <w:rsid w:val="008729C4"/>
    <w:rsid w:val="00872AD8"/>
    <w:rsid w:val="00872D76"/>
    <w:rsid w:val="00873221"/>
    <w:rsid w:val="00873292"/>
    <w:rsid w:val="00873440"/>
    <w:rsid w:val="00873C01"/>
    <w:rsid w:val="00873C5C"/>
    <w:rsid w:val="00874162"/>
    <w:rsid w:val="008743DF"/>
    <w:rsid w:val="008743F4"/>
    <w:rsid w:val="0087450F"/>
    <w:rsid w:val="00874684"/>
    <w:rsid w:val="00874808"/>
    <w:rsid w:val="0087485A"/>
    <w:rsid w:val="0087496C"/>
    <w:rsid w:val="00874CA3"/>
    <w:rsid w:val="00874D2E"/>
    <w:rsid w:val="00874D3F"/>
    <w:rsid w:val="00874F8C"/>
    <w:rsid w:val="008759B2"/>
    <w:rsid w:val="00875A94"/>
    <w:rsid w:val="0087600E"/>
    <w:rsid w:val="008763D4"/>
    <w:rsid w:val="00876619"/>
    <w:rsid w:val="008767A1"/>
    <w:rsid w:val="008767A5"/>
    <w:rsid w:val="00876FD3"/>
    <w:rsid w:val="008772AB"/>
    <w:rsid w:val="00877322"/>
    <w:rsid w:val="0087766A"/>
    <w:rsid w:val="00877869"/>
    <w:rsid w:val="008778C4"/>
    <w:rsid w:val="008779AB"/>
    <w:rsid w:val="00877B87"/>
    <w:rsid w:val="00877DBC"/>
    <w:rsid w:val="0088036A"/>
    <w:rsid w:val="00880720"/>
    <w:rsid w:val="00880F1F"/>
    <w:rsid w:val="00881524"/>
    <w:rsid w:val="008815C6"/>
    <w:rsid w:val="008816CE"/>
    <w:rsid w:val="00881854"/>
    <w:rsid w:val="008818CA"/>
    <w:rsid w:val="00881932"/>
    <w:rsid w:val="00881988"/>
    <w:rsid w:val="00882319"/>
    <w:rsid w:val="00882597"/>
    <w:rsid w:val="00882670"/>
    <w:rsid w:val="00882F3E"/>
    <w:rsid w:val="008835F3"/>
    <w:rsid w:val="00884002"/>
    <w:rsid w:val="00884089"/>
    <w:rsid w:val="008841B0"/>
    <w:rsid w:val="00884549"/>
    <w:rsid w:val="008846EC"/>
    <w:rsid w:val="008847E5"/>
    <w:rsid w:val="0088489D"/>
    <w:rsid w:val="00884F3B"/>
    <w:rsid w:val="00885401"/>
    <w:rsid w:val="00885516"/>
    <w:rsid w:val="0088565F"/>
    <w:rsid w:val="008857EC"/>
    <w:rsid w:val="0088581A"/>
    <w:rsid w:val="00885893"/>
    <w:rsid w:val="008858C2"/>
    <w:rsid w:val="00885977"/>
    <w:rsid w:val="00885AEB"/>
    <w:rsid w:val="00885D1D"/>
    <w:rsid w:val="00885E29"/>
    <w:rsid w:val="00886383"/>
    <w:rsid w:val="00886A96"/>
    <w:rsid w:val="00886CF2"/>
    <w:rsid w:val="00886D17"/>
    <w:rsid w:val="00886EF1"/>
    <w:rsid w:val="0088716B"/>
    <w:rsid w:val="008871EC"/>
    <w:rsid w:val="00887A59"/>
    <w:rsid w:val="00887DA9"/>
    <w:rsid w:val="00887E66"/>
    <w:rsid w:val="008900CA"/>
    <w:rsid w:val="00890328"/>
    <w:rsid w:val="00890A11"/>
    <w:rsid w:val="00890A7B"/>
    <w:rsid w:val="00890D1C"/>
    <w:rsid w:val="00890EDA"/>
    <w:rsid w:val="00891234"/>
    <w:rsid w:val="00891255"/>
    <w:rsid w:val="00891A4B"/>
    <w:rsid w:val="008920D3"/>
    <w:rsid w:val="00892170"/>
    <w:rsid w:val="008921E4"/>
    <w:rsid w:val="00892312"/>
    <w:rsid w:val="00892B98"/>
    <w:rsid w:val="00892F3A"/>
    <w:rsid w:val="00893236"/>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5CE0"/>
    <w:rsid w:val="00896061"/>
    <w:rsid w:val="00896080"/>
    <w:rsid w:val="00896149"/>
    <w:rsid w:val="00896368"/>
    <w:rsid w:val="00896375"/>
    <w:rsid w:val="00896448"/>
    <w:rsid w:val="00896F72"/>
    <w:rsid w:val="00897353"/>
    <w:rsid w:val="00897470"/>
    <w:rsid w:val="008974D2"/>
    <w:rsid w:val="00897602"/>
    <w:rsid w:val="008A0334"/>
    <w:rsid w:val="008A0B46"/>
    <w:rsid w:val="008A103B"/>
    <w:rsid w:val="008A1323"/>
    <w:rsid w:val="008A1625"/>
    <w:rsid w:val="008A1826"/>
    <w:rsid w:val="008A1B70"/>
    <w:rsid w:val="008A1BD0"/>
    <w:rsid w:val="008A1CCE"/>
    <w:rsid w:val="008A1CFC"/>
    <w:rsid w:val="008A2048"/>
    <w:rsid w:val="008A20F2"/>
    <w:rsid w:val="008A24F6"/>
    <w:rsid w:val="008A2C94"/>
    <w:rsid w:val="008A3081"/>
    <w:rsid w:val="008A31B6"/>
    <w:rsid w:val="008A3361"/>
    <w:rsid w:val="008A3C86"/>
    <w:rsid w:val="008A41AA"/>
    <w:rsid w:val="008A454B"/>
    <w:rsid w:val="008A4887"/>
    <w:rsid w:val="008A542C"/>
    <w:rsid w:val="008A566E"/>
    <w:rsid w:val="008A5DB5"/>
    <w:rsid w:val="008A60AF"/>
    <w:rsid w:val="008A620B"/>
    <w:rsid w:val="008A63B6"/>
    <w:rsid w:val="008A658A"/>
    <w:rsid w:val="008A658D"/>
    <w:rsid w:val="008A6C7E"/>
    <w:rsid w:val="008A6CD3"/>
    <w:rsid w:val="008A6D00"/>
    <w:rsid w:val="008A7A00"/>
    <w:rsid w:val="008A7D33"/>
    <w:rsid w:val="008B000A"/>
    <w:rsid w:val="008B016A"/>
    <w:rsid w:val="008B04C5"/>
    <w:rsid w:val="008B0659"/>
    <w:rsid w:val="008B072B"/>
    <w:rsid w:val="008B09B6"/>
    <w:rsid w:val="008B0AC2"/>
    <w:rsid w:val="008B1133"/>
    <w:rsid w:val="008B11CD"/>
    <w:rsid w:val="008B122D"/>
    <w:rsid w:val="008B142B"/>
    <w:rsid w:val="008B1503"/>
    <w:rsid w:val="008B155C"/>
    <w:rsid w:val="008B1B00"/>
    <w:rsid w:val="008B2206"/>
    <w:rsid w:val="008B22F0"/>
    <w:rsid w:val="008B2320"/>
    <w:rsid w:val="008B29AD"/>
    <w:rsid w:val="008B2A77"/>
    <w:rsid w:val="008B2C34"/>
    <w:rsid w:val="008B322A"/>
    <w:rsid w:val="008B3493"/>
    <w:rsid w:val="008B3856"/>
    <w:rsid w:val="008B3B6C"/>
    <w:rsid w:val="008B3BDD"/>
    <w:rsid w:val="008B3C23"/>
    <w:rsid w:val="008B3C5E"/>
    <w:rsid w:val="008B3EE0"/>
    <w:rsid w:val="008B3FFA"/>
    <w:rsid w:val="008B4073"/>
    <w:rsid w:val="008B44F9"/>
    <w:rsid w:val="008B4551"/>
    <w:rsid w:val="008B45EB"/>
    <w:rsid w:val="008B5036"/>
    <w:rsid w:val="008B519D"/>
    <w:rsid w:val="008B51CD"/>
    <w:rsid w:val="008B5E06"/>
    <w:rsid w:val="008B5E5A"/>
    <w:rsid w:val="008B62B9"/>
    <w:rsid w:val="008B62E3"/>
    <w:rsid w:val="008B6E75"/>
    <w:rsid w:val="008B733B"/>
    <w:rsid w:val="008B747F"/>
    <w:rsid w:val="008B75B6"/>
    <w:rsid w:val="008B7A3B"/>
    <w:rsid w:val="008B7B69"/>
    <w:rsid w:val="008B7CAF"/>
    <w:rsid w:val="008B7DC4"/>
    <w:rsid w:val="008C02D7"/>
    <w:rsid w:val="008C0738"/>
    <w:rsid w:val="008C0850"/>
    <w:rsid w:val="008C106D"/>
    <w:rsid w:val="008C1290"/>
    <w:rsid w:val="008C13DC"/>
    <w:rsid w:val="008C1AEC"/>
    <w:rsid w:val="008C1BDA"/>
    <w:rsid w:val="008C1C95"/>
    <w:rsid w:val="008C1EFE"/>
    <w:rsid w:val="008C1FD2"/>
    <w:rsid w:val="008C2BD6"/>
    <w:rsid w:val="008C2C57"/>
    <w:rsid w:val="008C2DA5"/>
    <w:rsid w:val="008C3322"/>
    <w:rsid w:val="008C3902"/>
    <w:rsid w:val="008C3904"/>
    <w:rsid w:val="008C39C8"/>
    <w:rsid w:val="008C3AE7"/>
    <w:rsid w:val="008C3CAD"/>
    <w:rsid w:val="008C3CE5"/>
    <w:rsid w:val="008C4542"/>
    <w:rsid w:val="008C46E7"/>
    <w:rsid w:val="008C4812"/>
    <w:rsid w:val="008C4AD6"/>
    <w:rsid w:val="008C4F09"/>
    <w:rsid w:val="008C4F99"/>
    <w:rsid w:val="008C5A0B"/>
    <w:rsid w:val="008C5EB1"/>
    <w:rsid w:val="008C5F0F"/>
    <w:rsid w:val="008C619A"/>
    <w:rsid w:val="008C6C2C"/>
    <w:rsid w:val="008C771F"/>
    <w:rsid w:val="008C775C"/>
    <w:rsid w:val="008C7892"/>
    <w:rsid w:val="008C7BF3"/>
    <w:rsid w:val="008C7D65"/>
    <w:rsid w:val="008D01C5"/>
    <w:rsid w:val="008D02C2"/>
    <w:rsid w:val="008D0390"/>
    <w:rsid w:val="008D048F"/>
    <w:rsid w:val="008D05D6"/>
    <w:rsid w:val="008D06A7"/>
    <w:rsid w:val="008D0792"/>
    <w:rsid w:val="008D0AFD"/>
    <w:rsid w:val="008D1285"/>
    <w:rsid w:val="008D12B4"/>
    <w:rsid w:val="008D1892"/>
    <w:rsid w:val="008D1B0A"/>
    <w:rsid w:val="008D1B85"/>
    <w:rsid w:val="008D252D"/>
    <w:rsid w:val="008D25CB"/>
    <w:rsid w:val="008D2957"/>
    <w:rsid w:val="008D3250"/>
    <w:rsid w:val="008D342F"/>
    <w:rsid w:val="008D3607"/>
    <w:rsid w:val="008D36F0"/>
    <w:rsid w:val="008D3B5C"/>
    <w:rsid w:val="008D3B9A"/>
    <w:rsid w:val="008D3C6B"/>
    <w:rsid w:val="008D3CEE"/>
    <w:rsid w:val="008D3EE0"/>
    <w:rsid w:val="008D452F"/>
    <w:rsid w:val="008D4F2D"/>
    <w:rsid w:val="008D52EA"/>
    <w:rsid w:val="008D5B2E"/>
    <w:rsid w:val="008D5ED3"/>
    <w:rsid w:val="008D629F"/>
    <w:rsid w:val="008D654C"/>
    <w:rsid w:val="008D728E"/>
    <w:rsid w:val="008D778A"/>
    <w:rsid w:val="008D7BE7"/>
    <w:rsid w:val="008E05D5"/>
    <w:rsid w:val="008E07D5"/>
    <w:rsid w:val="008E0EB9"/>
    <w:rsid w:val="008E103E"/>
    <w:rsid w:val="008E1212"/>
    <w:rsid w:val="008E169F"/>
    <w:rsid w:val="008E1F20"/>
    <w:rsid w:val="008E24FD"/>
    <w:rsid w:val="008E2D5A"/>
    <w:rsid w:val="008E2F70"/>
    <w:rsid w:val="008E3349"/>
    <w:rsid w:val="008E3868"/>
    <w:rsid w:val="008E3A68"/>
    <w:rsid w:val="008E3D1C"/>
    <w:rsid w:val="008E41F1"/>
    <w:rsid w:val="008E4251"/>
    <w:rsid w:val="008E4365"/>
    <w:rsid w:val="008E4414"/>
    <w:rsid w:val="008E4C39"/>
    <w:rsid w:val="008E531A"/>
    <w:rsid w:val="008E5503"/>
    <w:rsid w:val="008E5771"/>
    <w:rsid w:val="008E5B4E"/>
    <w:rsid w:val="008E6371"/>
    <w:rsid w:val="008E67CC"/>
    <w:rsid w:val="008E6B4F"/>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1073"/>
    <w:rsid w:val="008F21B7"/>
    <w:rsid w:val="008F299A"/>
    <w:rsid w:val="008F2C0E"/>
    <w:rsid w:val="008F341D"/>
    <w:rsid w:val="008F37CD"/>
    <w:rsid w:val="008F3BE0"/>
    <w:rsid w:val="008F3D80"/>
    <w:rsid w:val="008F416C"/>
    <w:rsid w:val="008F4437"/>
    <w:rsid w:val="008F46D1"/>
    <w:rsid w:val="008F4C6E"/>
    <w:rsid w:val="008F59C5"/>
    <w:rsid w:val="008F5E50"/>
    <w:rsid w:val="008F62E6"/>
    <w:rsid w:val="008F6370"/>
    <w:rsid w:val="008F647A"/>
    <w:rsid w:val="008F65D6"/>
    <w:rsid w:val="008F65E9"/>
    <w:rsid w:val="008F6919"/>
    <w:rsid w:val="008F6AF2"/>
    <w:rsid w:val="008F6BCE"/>
    <w:rsid w:val="008F7786"/>
    <w:rsid w:val="008F785D"/>
    <w:rsid w:val="008F7B40"/>
    <w:rsid w:val="008F7C2E"/>
    <w:rsid w:val="008F7E53"/>
    <w:rsid w:val="008F7FEA"/>
    <w:rsid w:val="00900835"/>
    <w:rsid w:val="0090092E"/>
    <w:rsid w:val="00900BC7"/>
    <w:rsid w:val="009011A5"/>
    <w:rsid w:val="00901523"/>
    <w:rsid w:val="0090157D"/>
    <w:rsid w:val="009015E4"/>
    <w:rsid w:val="0090164D"/>
    <w:rsid w:val="00901792"/>
    <w:rsid w:val="00901F71"/>
    <w:rsid w:val="0090227A"/>
    <w:rsid w:val="00902286"/>
    <w:rsid w:val="009029E7"/>
    <w:rsid w:val="00902A34"/>
    <w:rsid w:val="00902B04"/>
    <w:rsid w:val="00903651"/>
    <w:rsid w:val="0090368C"/>
    <w:rsid w:val="00904967"/>
    <w:rsid w:val="00904AE1"/>
    <w:rsid w:val="00904D94"/>
    <w:rsid w:val="00905476"/>
    <w:rsid w:val="009059C5"/>
    <w:rsid w:val="00905B9B"/>
    <w:rsid w:val="00905E6C"/>
    <w:rsid w:val="00905F1F"/>
    <w:rsid w:val="00906174"/>
    <w:rsid w:val="0090693E"/>
    <w:rsid w:val="00906A66"/>
    <w:rsid w:val="00906B4B"/>
    <w:rsid w:val="00906D16"/>
    <w:rsid w:val="009071CE"/>
    <w:rsid w:val="009072A4"/>
    <w:rsid w:val="009072EE"/>
    <w:rsid w:val="00907353"/>
    <w:rsid w:val="00907367"/>
    <w:rsid w:val="0090770B"/>
    <w:rsid w:val="00907EA5"/>
    <w:rsid w:val="00910002"/>
    <w:rsid w:val="00910148"/>
    <w:rsid w:val="00910375"/>
    <w:rsid w:val="009104C2"/>
    <w:rsid w:val="00910732"/>
    <w:rsid w:val="009108B1"/>
    <w:rsid w:val="00911138"/>
    <w:rsid w:val="0091116F"/>
    <w:rsid w:val="00911507"/>
    <w:rsid w:val="0091175A"/>
    <w:rsid w:val="009118DB"/>
    <w:rsid w:val="00911BB2"/>
    <w:rsid w:val="0091202D"/>
    <w:rsid w:val="0091214E"/>
    <w:rsid w:val="009128AC"/>
    <w:rsid w:val="00912A17"/>
    <w:rsid w:val="00912A4D"/>
    <w:rsid w:val="0091332F"/>
    <w:rsid w:val="0091398D"/>
    <w:rsid w:val="00913A7E"/>
    <w:rsid w:val="00913AE0"/>
    <w:rsid w:val="00913CA6"/>
    <w:rsid w:val="00913DC7"/>
    <w:rsid w:val="00913EF1"/>
    <w:rsid w:val="0091419D"/>
    <w:rsid w:val="00914229"/>
    <w:rsid w:val="00914384"/>
    <w:rsid w:val="0091490C"/>
    <w:rsid w:val="00914B4B"/>
    <w:rsid w:val="00914F5D"/>
    <w:rsid w:val="00915061"/>
    <w:rsid w:val="009152B6"/>
    <w:rsid w:val="009156F7"/>
    <w:rsid w:val="0091593D"/>
    <w:rsid w:val="009165E6"/>
    <w:rsid w:val="00916EF3"/>
    <w:rsid w:val="00917074"/>
    <w:rsid w:val="0091729B"/>
    <w:rsid w:val="00917301"/>
    <w:rsid w:val="00917788"/>
    <w:rsid w:val="00917A2F"/>
    <w:rsid w:val="00917D4D"/>
    <w:rsid w:val="0092056C"/>
    <w:rsid w:val="009208A8"/>
    <w:rsid w:val="00920A72"/>
    <w:rsid w:val="00920C50"/>
    <w:rsid w:val="00920EC8"/>
    <w:rsid w:val="00921158"/>
    <w:rsid w:val="0092206D"/>
    <w:rsid w:val="00922265"/>
    <w:rsid w:val="00922570"/>
    <w:rsid w:val="00922C15"/>
    <w:rsid w:val="009235A1"/>
    <w:rsid w:val="00923D02"/>
    <w:rsid w:val="009243E7"/>
    <w:rsid w:val="0092467C"/>
    <w:rsid w:val="00924C3B"/>
    <w:rsid w:val="00924F57"/>
    <w:rsid w:val="00925C62"/>
    <w:rsid w:val="00925D80"/>
    <w:rsid w:val="00926E8F"/>
    <w:rsid w:val="0092714E"/>
    <w:rsid w:val="00927288"/>
    <w:rsid w:val="00927453"/>
    <w:rsid w:val="0092766F"/>
    <w:rsid w:val="0092771C"/>
    <w:rsid w:val="00927CE9"/>
    <w:rsid w:val="00927DCB"/>
    <w:rsid w:val="00927E32"/>
    <w:rsid w:val="009305F7"/>
    <w:rsid w:val="00930A92"/>
    <w:rsid w:val="009314C8"/>
    <w:rsid w:val="009321DF"/>
    <w:rsid w:val="00932732"/>
    <w:rsid w:val="00932B37"/>
    <w:rsid w:val="00932BDF"/>
    <w:rsid w:val="00932CFC"/>
    <w:rsid w:val="0093311B"/>
    <w:rsid w:val="00933186"/>
    <w:rsid w:val="00933507"/>
    <w:rsid w:val="00933D41"/>
    <w:rsid w:val="00933F1E"/>
    <w:rsid w:val="00934023"/>
    <w:rsid w:val="00934727"/>
    <w:rsid w:val="00935166"/>
    <w:rsid w:val="00935445"/>
    <w:rsid w:val="009357A2"/>
    <w:rsid w:val="00935C1B"/>
    <w:rsid w:val="009365E1"/>
    <w:rsid w:val="009377BE"/>
    <w:rsid w:val="009378F4"/>
    <w:rsid w:val="00937990"/>
    <w:rsid w:val="00937DA1"/>
    <w:rsid w:val="00937DB3"/>
    <w:rsid w:val="009400CE"/>
    <w:rsid w:val="0094017F"/>
    <w:rsid w:val="00940BBD"/>
    <w:rsid w:val="00940FCB"/>
    <w:rsid w:val="00941059"/>
    <w:rsid w:val="0094137C"/>
    <w:rsid w:val="00941A98"/>
    <w:rsid w:val="00941DA2"/>
    <w:rsid w:val="0094250E"/>
    <w:rsid w:val="009425CA"/>
    <w:rsid w:val="009425D4"/>
    <w:rsid w:val="00942879"/>
    <w:rsid w:val="00943114"/>
    <w:rsid w:val="0094340A"/>
    <w:rsid w:val="00943533"/>
    <w:rsid w:val="00943855"/>
    <w:rsid w:val="00943E26"/>
    <w:rsid w:val="009445E7"/>
    <w:rsid w:val="00944681"/>
    <w:rsid w:val="00944E2C"/>
    <w:rsid w:val="00944F29"/>
    <w:rsid w:val="00945158"/>
    <w:rsid w:val="00945879"/>
    <w:rsid w:val="009458FA"/>
    <w:rsid w:val="009459B0"/>
    <w:rsid w:val="00946019"/>
    <w:rsid w:val="0094608B"/>
    <w:rsid w:val="00946161"/>
    <w:rsid w:val="00946290"/>
    <w:rsid w:val="00946309"/>
    <w:rsid w:val="009468E0"/>
    <w:rsid w:val="00946A9E"/>
    <w:rsid w:val="00946CC7"/>
    <w:rsid w:val="00947145"/>
    <w:rsid w:val="00947682"/>
    <w:rsid w:val="00947A07"/>
    <w:rsid w:val="00947C1D"/>
    <w:rsid w:val="00947E5A"/>
    <w:rsid w:val="0095029A"/>
    <w:rsid w:val="009504F5"/>
    <w:rsid w:val="009507DD"/>
    <w:rsid w:val="00950AF8"/>
    <w:rsid w:val="00950D09"/>
    <w:rsid w:val="0095118D"/>
    <w:rsid w:val="009515F5"/>
    <w:rsid w:val="0095171C"/>
    <w:rsid w:val="00951D67"/>
    <w:rsid w:val="009523BD"/>
    <w:rsid w:val="0095249D"/>
    <w:rsid w:val="009526C5"/>
    <w:rsid w:val="00952FD8"/>
    <w:rsid w:val="00953070"/>
    <w:rsid w:val="009534E5"/>
    <w:rsid w:val="00953885"/>
    <w:rsid w:val="00953A05"/>
    <w:rsid w:val="00953B6E"/>
    <w:rsid w:val="0095453F"/>
    <w:rsid w:val="00954552"/>
    <w:rsid w:val="009549DC"/>
    <w:rsid w:val="00954E8E"/>
    <w:rsid w:val="00954FE8"/>
    <w:rsid w:val="00955019"/>
    <w:rsid w:val="009550D6"/>
    <w:rsid w:val="00955169"/>
    <w:rsid w:val="0095540E"/>
    <w:rsid w:val="00955519"/>
    <w:rsid w:val="0095591C"/>
    <w:rsid w:val="009569D1"/>
    <w:rsid w:val="00957109"/>
    <w:rsid w:val="0095754A"/>
    <w:rsid w:val="0095754B"/>
    <w:rsid w:val="009577E5"/>
    <w:rsid w:val="00957B2E"/>
    <w:rsid w:val="009601C0"/>
    <w:rsid w:val="009601F7"/>
    <w:rsid w:val="009609D0"/>
    <w:rsid w:val="00960E71"/>
    <w:rsid w:val="00961037"/>
    <w:rsid w:val="00961222"/>
    <w:rsid w:val="00961645"/>
    <w:rsid w:val="0096199D"/>
    <w:rsid w:val="00961AA6"/>
    <w:rsid w:val="00961CEC"/>
    <w:rsid w:val="0096201A"/>
    <w:rsid w:val="00962312"/>
    <w:rsid w:val="009624B5"/>
    <w:rsid w:val="00962895"/>
    <w:rsid w:val="009628A6"/>
    <w:rsid w:val="0096317D"/>
    <w:rsid w:val="00963204"/>
    <w:rsid w:val="009633DC"/>
    <w:rsid w:val="009638F3"/>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575"/>
    <w:rsid w:val="00971638"/>
    <w:rsid w:val="00971827"/>
    <w:rsid w:val="00971882"/>
    <w:rsid w:val="00971B4E"/>
    <w:rsid w:val="00971B51"/>
    <w:rsid w:val="009721F9"/>
    <w:rsid w:val="009722BE"/>
    <w:rsid w:val="00972305"/>
    <w:rsid w:val="00972459"/>
    <w:rsid w:val="00972C81"/>
    <w:rsid w:val="009737B2"/>
    <w:rsid w:val="00973B44"/>
    <w:rsid w:val="00974213"/>
    <w:rsid w:val="009742F5"/>
    <w:rsid w:val="0097439C"/>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77C3A"/>
    <w:rsid w:val="0098065F"/>
    <w:rsid w:val="00980EF3"/>
    <w:rsid w:val="0098167B"/>
    <w:rsid w:val="00981D73"/>
    <w:rsid w:val="00982159"/>
    <w:rsid w:val="00982161"/>
    <w:rsid w:val="00982C2E"/>
    <w:rsid w:val="00982F25"/>
    <w:rsid w:val="00983330"/>
    <w:rsid w:val="00983AFC"/>
    <w:rsid w:val="00983B7D"/>
    <w:rsid w:val="00983C1B"/>
    <w:rsid w:val="00983C22"/>
    <w:rsid w:val="00983C9E"/>
    <w:rsid w:val="00983F38"/>
    <w:rsid w:val="00984185"/>
    <w:rsid w:val="00984BB6"/>
    <w:rsid w:val="00984CE7"/>
    <w:rsid w:val="00984E94"/>
    <w:rsid w:val="009851F1"/>
    <w:rsid w:val="00985468"/>
    <w:rsid w:val="00985619"/>
    <w:rsid w:val="00985B2D"/>
    <w:rsid w:val="009863AA"/>
    <w:rsid w:val="009864E9"/>
    <w:rsid w:val="009865C6"/>
    <w:rsid w:val="00986DD6"/>
    <w:rsid w:val="00986E36"/>
    <w:rsid w:val="00987795"/>
    <w:rsid w:val="009877BC"/>
    <w:rsid w:val="00987DCD"/>
    <w:rsid w:val="00990176"/>
    <w:rsid w:val="009902DF"/>
    <w:rsid w:val="009903EC"/>
    <w:rsid w:val="009905F9"/>
    <w:rsid w:val="00990983"/>
    <w:rsid w:val="009909AD"/>
    <w:rsid w:val="00990A98"/>
    <w:rsid w:val="00990D32"/>
    <w:rsid w:val="009917C6"/>
    <w:rsid w:val="0099184E"/>
    <w:rsid w:val="00991A9B"/>
    <w:rsid w:val="009921FF"/>
    <w:rsid w:val="009922C1"/>
    <w:rsid w:val="009926F0"/>
    <w:rsid w:val="00993079"/>
    <w:rsid w:val="00993175"/>
    <w:rsid w:val="00993748"/>
    <w:rsid w:val="009937DF"/>
    <w:rsid w:val="00993A95"/>
    <w:rsid w:val="00993EF0"/>
    <w:rsid w:val="00993FFF"/>
    <w:rsid w:val="0099419B"/>
    <w:rsid w:val="0099487B"/>
    <w:rsid w:val="0099498B"/>
    <w:rsid w:val="00994E32"/>
    <w:rsid w:val="00994FD0"/>
    <w:rsid w:val="00995043"/>
    <w:rsid w:val="0099548F"/>
    <w:rsid w:val="00995AA7"/>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0B3B"/>
    <w:rsid w:val="009A10F2"/>
    <w:rsid w:val="009A1218"/>
    <w:rsid w:val="009A1C7F"/>
    <w:rsid w:val="009A21A4"/>
    <w:rsid w:val="009A25EB"/>
    <w:rsid w:val="009A260C"/>
    <w:rsid w:val="009A2FC3"/>
    <w:rsid w:val="009A3246"/>
    <w:rsid w:val="009A3A33"/>
    <w:rsid w:val="009A3D30"/>
    <w:rsid w:val="009A40BD"/>
    <w:rsid w:val="009A4420"/>
    <w:rsid w:val="009A4445"/>
    <w:rsid w:val="009A54DB"/>
    <w:rsid w:val="009A5A7B"/>
    <w:rsid w:val="009A5C86"/>
    <w:rsid w:val="009A61C0"/>
    <w:rsid w:val="009A61F2"/>
    <w:rsid w:val="009A6D4C"/>
    <w:rsid w:val="009A6D56"/>
    <w:rsid w:val="009A6D9D"/>
    <w:rsid w:val="009A7097"/>
    <w:rsid w:val="009A7258"/>
    <w:rsid w:val="009A73AB"/>
    <w:rsid w:val="009A7911"/>
    <w:rsid w:val="009A7AEC"/>
    <w:rsid w:val="009A7B29"/>
    <w:rsid w:val="009A7FC8"/>
    <w:rsid w:val="009B0FA2"/>
    <w:rsid w:val="009B0FE8"/>
    <w:rsid w:val="009B11D1"/>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4C7"/>
    <w:rsid w:val="009B4701"/>
    <w:rsid w:val="009B494E"/>
    <w:rsid w:val="009B4F8F"/>
    <w:rsid w:val="009B561E"/>
    <w:rsid w:val="009B5DAF"/>
    <w:rsid w:val="009B6049"/>
    <w:rsid w:val="009B6735"/>
    <w:rsid w:val="009B6C27"/>
    <w:rsid w:val="009B7243"/>
    <w:rsid w:val="009B74E2"/>
    <w:rsid w:val="009B75D1"/>
    <w:rsid w:val="009B7662"/>
    <w:rsid w:val="009B7776"/>
    <w:rsid w:val="009B79F7"/>
    <w:rsid w:val="009B7A02"/>
    <w:rsid w:val="009B7A31"/>
    <w:rsid w:val="009B7EFC"/>
    <w:rsid w:val="009B7F61"/>
    <w:rsid w:val="009C0355"/>
    <w:rsid w:val="009C044B"/>
    <w:rsid w:val="009C0705"/>
    <w:rsid w:val="009C07CC"/>
    <w:rsid w:val="009C0C03"/>
    <w:rsid w:val="009C0C47"/>
    <w:rsid w:val="009C0E91"/>
    <w:rsid w:val="009C0FF0"/>
    <w:rsid w:val="009C1117"/>
    <w:rsid w:val="009C1187"/>
    <w:rsid w:val="009C11B4"/>
    <w:rsid w:val="009C11D6"/>
    <w:rsid w:val="009C1727"/>
    <w:rsid w:val="009C1974"/>
    <w:rsid w:val="009C2197"/>
    <w:rsid w:val="009C23A6"/>
    <w:rsid w:val="009C2A4D"/>
    <w:rsid w:val="009C2F50"/>
    <w:rsid w:val="009C3145"/>
    <w:rsid w:val="009C315B"/>
    <w:rsid w:val="009C36C0"/>
    <w:rsid w:val="009C3A33"/>
    <w:rsid w:val="009C3BFA"/>
    <w:rsid w:val="009C425B"/>
    <w:rsid w:val="009C44AB"/>
    <w:rsid w:val="009C467B"/>
    <w:rsid w:val="009C5130"/>
    <w:rsid w:val="009C5871"/>
    <w:rsid w:val="009C590A"/>
    <w:rsid w:val="009C5A33"/>
    <w:rsid w:val="009C5DDE"/>
    <w:rsid w:val="009C5F26"/>
    <w:rsid w:val="009C62CF"/>
    <w:rsid w:val="009C633D"/>
    <w:rsid w:val="009C63AC"/>
    <w:rsid w:val="009C6927"/>
    <w:rsid w:val="009C6A06"/>
    <w:rsid w:val="009C6B74"/>
    <w:rsid w:val="009C6CDC"/>
    <w:rsid w:val="009C7168"/>
    <w:rsid w:val="009C730E"/>
    <w:rsid w:val="009C737F"/>
    <w:rsid w:val="009C7436"/>
    <w:rsid w:val="009C7690"/>
    <w:rsid w:val="009C79D3"/>
    <w:rsid w:val="009C7DD2"/>
    <w:rsid w:val="009D02FD"/>
    <w:rsid w:val="009D0DDE"/>
    <w:rsid w:val="009D0F04"/>
    <w:rsid w:val="009D0FC8"/>
    <w:rsid w:val="009D1AB1"/>
    <w:rsid w:val="009D1C0C"/>
    <w:rsid w:val="009D1C5F"/>
    <w:rsid w:val="009D1D5F"/>
    <w:rsid w:val="009D1E12"/>
    <w:rsid w:val="009D2537"/>
    <w:rsid w:val="009D25C5"/>
    <w:rsid w:val="009D2774"/>
    <w:rsid w:val="009D2992"/>
    <w:rsid w:val="009D2A7D"/>
    <w:rsid w:val="009D2D53"/>
    <w:rsid w:val="009D330D"/>
    <w:rsid w:val="009D3443"/>
    <w:rsid w:val="009D349F"/>
    <w:rsid w:val="009D3A30"/>
    <w:rsid w:val="009D4995"/>
    <w:rsid w:val="009D4CD7"/>
    <w:rsid w:val="009D50A1"/>
    <w:rsid w:val="009D5AE7"/>
    <w:rsid w:val="009D5B1F"/>
    <w:rsid w:val="009D5BB0"/>
    <w:rsid w:val="009D6873"/>
    <w:rsid w:val="009D6E02"/>
    <w:rsid w:val="009D6F8D"/>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2F3D"/>
    <w:rsid w:val="009E3253"/>
    <w:rsid w:val="009E335E"/>
    <w:rsid w:val="009E3390"/>
    <w:rsid w:val="009E3AF5"/>
    <w:rsid w:val="009E3BD5"/>
    <w:rsid w:val="009E3BE6"/>
    <w:rsid w:val="009E3BEA"/>
    <w:rsid w:val="009E3C49"/>
    <w:rsid w:val="009E3C93"/>
    <w:rsid w:val="009E442B"/>
    <w:rsid w:val="009E4528"/>
    <w:rsid w:val="009E4A92"/>
    <w:rsid w:val="009E5081"/>
    <w:rsid w:val="009E54DE"/>
    <w:rsid w:val="009E55C8"/>
    <w:rsid w:val="009E589F"/>
    <w:rsid w:val="009E5B0F"/>
    <w:rsid w:val="009E5E96"/>
    <w:rsid w:val="009E5FFE"/>
    <w:rsid w:val="009E6012"/>
    <w:rsid w:val="009E602C"/>
    <w:rsid w:val="009E62AF"/>
    <w:rsid w:val="009E6B73"/>
    <w:rsid w:val="009E6D95"/>
    <w:rsid w:val="009E6DEC"/>
    <w:rsid w:val="009E7397"/>
    <w:rsid w:val="009E78A4"/>
    <w:rsid w:val="009E7A94"/>
    <w:rsid w:val="009E7B9C"/>
    <w:rsid w:val="009E7DDC"/>
    <w:rsid w:val="009E7F52"/>
    <w:rsid w:val="009F0493"/>
    <w:rsid w:val="009F04B8"/>
    <w:rsid w:val="009F05CB"/>
    <w:rsid w:val="009F0772"/>
    <w:rsid w:val="009F0910"/>
    <w:rsid w:val="009F0A08"/>
    <w:rsid w:val="009F12F9"/>
    <w:rsid w:val="009F1412"/>
    <w:rsid w:val="009F17FA"/>
    <w:rsid w:val="009F1A1D"/>
    <w:rsid w:val="009F1AA4"/>
    <w:rsid w:val="009F1CE0"/>
    <w:rsid w:val="009F1D9C"/>
    <w:rsid w:val="009F225D"/>
    <w:rsid w:val="009F25DC"/>
    <w:rsid w:val="009F276F"/>
    <w:rsid w:val="009F2C7B"/>
    <w:rsid w:val="009F2E1C"/>
    <w:rsid w:val="009F34B3"/>
    <w:rsid w:val="009F3616"/>
    <w:rsid w:val="009F3E13"/>
    <w:rsid w:val="009F46CD"/>
    <w:rsid w:val="009F46DA"/>
    <w:rsid w:val="009F49BF"/>
    <w:rsid w:val="009F4A43"/>
    <w:rsid w:val="009F4E17"/>
    <w:rsid w:val="009F4F6C"/>
    <w:rsid w:val="009F522C"/>
    <w:rsid w:val="009F54B0"/>
    <w:rsid w:val="009F5502"/>
    <w:rsid w:val="009F5535"/>
    <w:rsid w:val="009F55CE"/>
    <w:rsid w:val="009F55DE"/>
    <w:rsid w:val="009F5703"/>
    <w:rsid w:val="009F5CAA"/>
    <w:rsid w:val="009F739E"/>
    <w:rsid w:val="009F7636"/>
    <w:rsid w:val="00A0006D"/>
    <w:rsid w:val="00A005D5"/>
    <w:rsid w:val="00A005D6"/>
    <w:rsid w:val="00A0066A"/>
    <w:rsid w:val="00A009B1"/>
    <w:rsid w:val="00A009EF"/>
    <w:rsid w:val="00A00A10"/>
    <w:rsid w:val="00A00DEA"/>
    <w:rsid w:val="00A016B8"/>
    <w:rsid w:val="00A016EC"/>
    <w:rsid w:val="00A01C00"/>
    <w:rsid w:val="00A01D11"/>
    <w:rsid w:val="00A01FD2"/>
    <w:rsid w:val="00A021AC"/>
    <w:rsid w:val="00A02B28"/>
    <w:rsid w:val="00A02B46"/>
    <w:rsid w:val="00A03343"/>
    <w:rsid w:val="00A03682"/>
    <w:rsid w:val="00A037F1"/>
    <w:rsid w:val="00A039F8"/>
    <w:rsid w:val="00A03C45"/>
    <w:rsid w:val="00A03DD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511"/>
    <w:rsid w:val="00A0789F"/>
    <w:rsid w:val="00A07A01"/>
    <w:rsid w:val="00A1009F"/>
    <w:rsid w:val="00A101D2"/>
    <w:rsid w:val="00A1046F"/>
    <w:rsid w:val="00A10BAA"/>
    <w:rsid w:val="00A10C92"/>
    <w:rsid w:val="00A10E83"/>
    <w:rsid w:val="00A10EB6"/>
    <w:rsid w:val="00A10F5C"/>
    <w:rsid w:val="00A1110A"/>
    <w:rsid w:val="00A113C0"/>
    <w:rsid w:val="00A11525"/>
    <w:rsid w:val="00A11B2E"/>
    <w:rsid w:val="00A121A7"/>
    <w:rsid w:val="00A123A1"/>
    <w:rsid w:val="00A1280A"/>
    <w:rsid w:val="00A1283B"/>
    <w:rsid w:val="00A129A6"/>
    <w:rsid w:val="00A12F13"/>
    <w:rsid w:val="00A1302E"/>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959"/>
    <w:rsid w:val="00A17EB6"/>
    <w:rsid w:val="00A20198"/>
    <w:rsid w:val="00A203A1"/>
    <w:rsid w:val="00A203C1"/>
    <w:rsid w:val="00A20836"/>
    <w:rsid w:val="00A20A53"/>
    <w:rsid w:val="00A20FAE"/>
    <w:rsid w:val="00A218DF"/>
    <w:rsid w:val="00A21997"/>
    <w:rsid w:val="00A219EE"/>
    <w:rsid w:val="00A21C08"/>
    <w:rsid w:val="00A2259D"/>
    <w:rsid w:val="00A2297C"/>
    <w:rsid w:val="00A22AA6"/>
    <w:rsid w:val="00A239B4"/>
    <w:rsid w:val="00A23A11"/>
    <w:rsid w:val="00A23D6D"/>
    <w:rsid w:val="00A24779"/>
    <w:rsid w:val="00A247B9"/>
    <w:rsid w:val="00A247D5"/>
    <w:rsid w:val="00A2491B"/>
    <w:rsid w:val="00A24A1F"/>
    <w:rsid w:val="00A24A4D"/>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577"/>
    <w:rsid w:val="00A276DE"/>
    <w:rsid w:val="00A27BD3"/>
    <w:rsid w:val="00A27D4D"/>
    <w:rsid w:val="00A27ECB"/>
    <w:rsid w:val="00A300A8"/>
    <w:rsid w:val="00A3024C"/>
    <w:rsid w:val="00A305A0"/>
    <w:rsid w:val="00A3064C"/>
    <w:rsid w:val="00A30B29"/>
    <w:rsid w:val="00A30EC7"/>
    <w:rsid w:val="00A30FD0"/>
    <w:rsid w:val="00A312DA"/>
    <w:rsid w:val="00A31787"/>
    <w:rsid w:val="00A31993"/>
    <w:rsid w:val="00A31C1B"/>
    <w:rsid w:val="00A31E89"/>
    <w:rsid w:val="00A32299"/>
    <w:rsid w:val="00A32482"/>
    <w:rsid w:val="00A328D4"/>
    <w:rsid w:val="00A329E2"/>
    <w:rsid w:val="00A32B00"/>
    <w:rsid w:val="00A33119"/>
    <w:rsid w:val="00A33196"/>
    <w:rsid w:val="00A337E2"/>
    <w:rsid w:val="00A33BC2"/>
    <w:rsid w:val="00A34452"/>
    <w:rsid w:val="00A346DF"/>
    <w:rsid w:val="00A347BE"/>
    <w:rsid w:val="00A34F47"/>
    <w:rsid w:val="00A34FBB"/>
    <w:rsid w:val="00A35080"/>
    <w:rsid w:val="00A35325"/>
    <w:rsid w:val="00A3533A"/>
    <w:rsid w:val="00A35A7D"/>
    <w:rsid w:val="00A35C59"/>
    <w:rsid w:val="00A35C91"/>
    <w:rsid w:val="00A35D05"/>
    <w:rsid w:val="00A36084"/>
    <w:rsid w:val="00A36198"/>
    <w:rsid w:val="00A367E8"/>
    <w:rsid w:val="00A36DB2"/>
    <w:rsid w:val="00A37657"/>
    <w:rsid w:val="00A37A19"/>
    <w:rsid w:val="00A37EB0"/>
    <w:rsid w:val="00A40423"/>
    <w:rsid w:val="00A40615"/>
    <w:rsid w:val="00A40CCA"/>
    <w:rsid w:val="00A40D3A"/>
    <w:rsid w:val="00A40DE9"/>
    <w:rsid w:val="00A40F79"/>
    <w:rsid w:val="00A41077"/>
    <w:rsid w:val="00A41113"/>
    <w:rsid w:val="00A413BF"/>
    <w:rsid w:val="00A42094"/>
    <w:rsid w:val="00A42259"/>
    <w:rsid w:val="00A426C4"/>
    <w:rsid w:val="00A427A1"/>
    <w:rsid w:val="00A42B7E"/>
    <w:rsid w:val="00A43B02"/>
    <w:rsid w:val="00A43B23"/>
    <w:rsid w:val="00A44138"/>
    <w:rsid w:val="00A44195"/>
    <w:rsid w:val="00A4499E"/>
    <w:rsid w:val="00A449D9"/>
    <w:rsid w:val="00A44E87"/>
    <w:rsid w:val="00A4514C"/>
    <w:rsid w:val="00A4517A"/>
    <w:rsid w:val="00A455C2"/>
    <w:rsid w:val="00A4602A"/>
    <w:rsid w:val="00A461E2"/>
    <w:rsid w:val="00A465B0"/>
    <w:rsid w:val="00A469E7"/>
    <w:rsid w:val="00A46ABE"/>
    <w:rsid w:val="00A46C65"/>
    <w:rsid w:val="00A47127"/>
    <w:rsid w:val="00A47690"/>
    <w:rsid w:val="00A477AD"/>
    <w:rsid w:val="00A47A3F"/>
    <w:rsid w:val="00A47ED2"/>
    <w:rsid w:val="00A50426"/>
    <w:rsid w:val="00A504F9"/>
    <w:rsid w:val="00A5082A"/>
    <w:rsid w:val="00A509CE"/>
    <w:rsid w:val="00A50A73"/>
    <w:rsid w:val="00A50BFA"/>
    <w:rsid w:val="00A50ED8"/>
    <w:rsid w:val="00A51767"/>
    <w:rsid w:val="00A51C82"/>
    <w:rsid w:val="00A51EE5"/>
    <w:rsid w:val="00A526D0"/>
    <w:rsid w:val="00A5305C"/>
    <w:rsid w:val="00A5328A"/>
    <w:rsid w:val="00A53C49"/>
    <w:rsid w:val="00A54097"/>
    <w:rsid w:val="00A546DC"/>
    <w:rsid w:val="00A5489C"/>
    <w:rsid w:val="00A54A04"/>
    <w:rsid w:val="00A54D2C"/>
    <w:rsid w:val="00A557D7"/>
    <w:rsid w:val="00A55AF9"/>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15F5"/>
    <w:rsid w:val="00A6206A"/>
    <w:rsid w:val="00A620BB"/>
    <w:rsid w:val="00A62479"/>
    <w:rsid w:val="00A629A0"/>
    <w:rsid w:val="00A62D25"/>
    <w:rsid w:val="00A63455"/>
    <w:rsid w:val="00A63B9F"/>
    <w:rsid w:val="00A641D2"/>
    <w:rsid w:val="00A64203"/>
    <w:rsid w:val="00A64256"/>
    <w:rsid w:val="00A64437"/>
    <w:rsid w:val="00A648DD"/>
    <w:rsid w:val="00A64A4A"/>
    <w:rsid w:val="00A64D89"/>
    <w:rsid w:val="00A64E59"/>
    <w:rsid w:val="00A65126"/>
    <w:rsid w:val="00A651DE"/>
    <w:rsid w:val="00A6534A"/>
    <w:rsid w:val="00A654C4"/>
    <w:rsid w:val="00A65651"/>
    <w:rsid w:val="00A65F8F"/>
    <w:rsid w:val="00A6601A"/>
    <w:rsid w:val="00A661F1"/>
    <w:rsid w:val="00A668A3"/>
    <w:rsid w:val="00A66D9F"/>
    <w:rsid w:val="00A66FE1"/>
    <w:rsid w:val="00A67397"/>
    <w:rsid w:val="00A673AA"/>
    <w:rsid w:val="00A673FD"/>
    <w:rsid w:val="00A67882"/>
    <w:rsid w:val="00A678DB"/>
    <w:rsid w:val="00A67AD5"/>
    <w:rsid w:val="00A67EB6"/>
    <w:rsid w:val="00A70136"/>
    <w:rsid w:val="00A70937"/>
    <w:rsid w:val="00A7093E"/>
    <w:rsid w:val="00A709C5"/>
    <w:rsid w:val="00A70A6A"/>
    <w:rsid w:val="00A70AB0"/>
    <w:rsid w:val="00A70B17"/>
    <w:rsid w:val="00A71005"/>
    <w:rsid w:val="00A7108A"/>
    <w:rsid w:val="00A71320"/>
    <w:rsid w:val="00A7203B"/>
    <w:rsid w:val="00A7232B"/>
    <w:rsid w:val="00A730B9"/>
    <w:rsid w:val="00A73652"/>
    <w:rsid w:val="00A73A79"/>
    <w:rsid w:val="00A740C2"/>
    <w:rsid w:val="00A74743"/>
    <w:rsid w:val="00A74E90"/>
    <w:rsid w:val="00A751A1"/>
    <w:rsid w:val="00A762F4"/>
    <w:rsid w:val="00A7682B"/>
    <w:rsid w:val="00A7683A"/>
    <w:rsid w:val="00A768EA"/>
    <w:rsid w:val="00A76A26"/>
    <w:rsid w:val="00A76B4F"/>
    <w:rsid w:val="00A76FAF"/>
    <w:rsid w:val="00A7715B"/>
    <w:rsid w:val="00A7776D"/>
    <w:rsid w:val="00A77C6F"/>
    <w:rsid w:val="00A77FE3"/>
    <w:rsid w:val="00A80B70"/>
    <w:rsid w:val="00A80C6B"/>
    <w:rsid w:val="00A810F1"/>
    <w:rsid w:val="00A81209"/>
    <w:rsid w:val="00A817E9"/>
    <w:rsid w:val="00A818AD"/>
    <w:rsid w:val="00A81957"/>
    <w:rsid w:val="00A81F01"/>
    <w:rsid w:val="00A82BC4"/>
    <w:rsid w:val="00A831B0"/>
    <w:rsid w:val="00A83C5F"/>
    <w:rsid w:val="00A83CED"/>
    <w:rsid w:val="00A83D24"/>
    <w:rsid w:val="00A83DD3"/>
    <w:rsid w:val="00A84155"/>
    <w:rsid w:val="00A841EC"/>
    <w:rsid w:val="00A84D8C"/>
    <w:rsid w:val="00A8527F"/>
    <w:rsid w:val="00A8577A"/>
    <w:rsid w:val="00A85DF4"/>
    <w:rsid w:val="00A85F5C"/>
    <w:rsid w:val="00A8606F"/>
    <w:rsid w:val="00A860E5"/>
    <w:rsid w:val="00A86216"/>
    <w:rsid w:val="00A86277"/>
    <w:rsid w:val="00A86363"/>
    <w:rsid w:val="00A8673A"/>
    <w:rsid w:val="00A86C22"/>
    <w:rsid w:val="00A86D5C"/>
    <w:rsid w:val="00A86DA7"/>
    <w:rsid w:val="00A87093"/>
    <w:rsid w:val="00A87127"/>
    <w:rsid w:val="00A871CC"/>
    <w:rsid w:val="00A87494"/>
    <w:rsid w:val="00A87B8D"/>
    <w:rsid w:val="00A87BB4"/>
    <w:rsid w:val="00A87F4A"/>
    <w:rsid w:val="00A902FF"/>
    <w:rsid w:val="00A90799"/>
    <w:rsid w:val="00A909E4"/>
    <w:rsid w:val="00A919D8"/>
    <w:rsid w:val="00A91CF9"/>
    <w:rsid w:val="00A9216E"/>
    <w:rsid w:val="00A9217A"/>
    <w:rsid w:val="00A92AD9"/>
    <w:rsid w:val="00A92B9C"/>
    <w:rsid w:val="00A93304"/>
    <w:rsid w:val="00A93397"/>
    <w:rsid w:val="00A93693"/>
    <w:rsid w:val="00A936DA"/>
    <w:rsid w:val="00A93738"/>
    <w:rsid w:val="00A93871"/>
    <w:rsid w:val="00A93A9D"/>
    <w:rsid w:val="00A93E65"/>
    <w:rsid w:val="00A93F0F"/>
    <w:rsid w:val="00A94039"/>
    <w:rsid w:val="00A940E9"/>
    <w:rsid w:val="00A94235"/>
    <w:rsid w:val="00A94241"/>
    <w:rsid w:val="00A9461A"/>
    <w:rsid w:val="00A94C85"/>
    <w:rsid w:val="00A94D76"/>
    <w:rsid w:val="00A94FAB"/>
    <w:rsid w:val="00A9554F"/>
    <w:rsid w:val="00A95B4C"/>
    <w:rsid w:val="00A9657D"/>
    <w:rsid w:val="00A9662D"/>
    <w:rsid w:val="00A96726"/>
    <w:rsid w:val="00A96A8B"/>
    <w:rsid w:val="00A9704B"/>
    <w:rsid w:val="00A97124"/>
    <w:rsid w:val="00A97808"/>
    <w:rsid w:val="00A97DC9"/>
    <w:rsid w:val="00A97FFE"/>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3DA7"/>
    <w:rsid w:val="00AA421E"/>
    <w:rsid w:val="00AA45ED"/>
    <w:rsid w:val="00AA4613"/>
    <w:rsid w:val="00AA47D8"/>
    <w:rsid w:val="00AA4C31"/>
    <w:rsid w:val="00AA4E8C"/>
    <w:rsid w:val="00AA4EC0"/>
    <w:rsid w:val="00AA505C"/>
    <w:rsid w:val="00AA53B8"/>
    <w:rsid w:val="00AA5ED0"/>
    <w:rsid w:val="00AA5F00"/>
    <w:rsid w:val="00AA60FB"/>
    <w:rsid w:val="00AA6162"/>
    <w:rsid w:val="00AA61A0"/>
    <w:rsid w:val="00AA6677"/>
    <w:rsid w:val="00AA6DF9"/>
    <w:rsid w:val="00AA6E30"/>
    <w:rsid w:val="00AA7547"/>
    <w:rsid w:val="00AA77CD"/>
    <w:rsid w:val="00AA7AEB"/>
    <w:rsid w:val="00AA7E87"/>
    <w:rsid w:val="00AA7EFF"/>
    <w:rsid w:val="00AA7F67"/>
    <w:rsid w:val="00AB08A4"/>
    <w:rsid w:val="00AB0A08"/>
    <w:rsid w:val="00AB0AA6"/>
    <w:rsid w:val="00AB0AC1"/>
    <w:rsid w:val="00AB0E3D"/>
    <w:rsid w:val="00AB0FBB"/>
    <w:rsid w:val="00AB1152"/>
    <w:rsid w:val="00AB1518"/>
    <w:rsid w:val="00AB18C9"/>
    <w:rsid w:val="00AB1E4B"/>
    <w:rsid w:val="00AB2599"/>
    <w:rsid w:val="00AB29B6"/>
    <w:rsid w:val="00AB2B0D"/>
    <w:rsid w:val="00AB2B76"/>
    <w:rsid w:val="00AB2FD9"/>
    <w:rsid w:val="00AB3D6B"/>
    <w:rsid w:val="00AB4277"/>
    <w:rsid w:val="00AB49BB"/>
    <w:rsid w:val="00AB4BCA"/>
    <w:rsid w:val="00AB4ECB"/>
    <w:rsid w:val="00AB4F8F"/>
    <w:rsid w:val="00AB52CD"/>
    <w:rsid w:val="00AB54DA"/>
    <w:rsid w:val="00AB5A0F"/>
    <w:rsid w:val="00AB5C37"/>
    <w:rsid w:val="00AB603C"/>
    <w:rsid w:val="00AB68A9"/>
    <w:rsid w:val="00AB6BEB"/>
    <w:rsid w:val="00AB6C6B"/>
    <w:rsid w:val="00AB70C0"/>
    <w:rsid w:val="00AB70E2"/>
    <w:rsid w:val="00AB74E9"/>
    <w:rsid w:val="00AB7867"/>
    <w:rsid w:val="00AB794E"/>
    <w:rsid w:val="00AB7BD9"/>
    <w:rsid w:val="00AB7E63"/>
    <w:rsid w:val="00AC046A"/>
    <w:rsid w:val="00AC057A"/>
    <w:rsid w:val="00AC092D"/>
    <w:rsid w:val="00AC0B6E"/>
    <w:rsid w:val="00AC1164"/>
    <w:rsid w:val="00AC1330"/>
    <w:rsid w:val="00AC147F"/>
    <w:rsid w:val="00AC1513"/>
    <w:rsid w:val="00AC160A"/>
    <w:rsid w:val="00AC1DC6"/>
    <w:rsid w:val="00AC1E34"/>
    <w:rsid w:val="00AC23FA"/>
    <w:rsid w:val="00AC27BA"/>
    <w:rsid w:val="00AC28A7"/>
    <w:rsid w:val="00AC2DCF"/>
    <w:rsid w:val="00AC37A3"/>
    <w:rsid w:val="00AC380B"/>
    <w:rsid w:val="00AC395D"/>
    <w:rsid w:val="00AC3C2A"/>
    <w:rsid w:val="00AC3C2D"/>
    <w:rsid w:val="00AC3DA4"/>
    <w:rsid w:val="00AC413A"/>
    <w:rsid w:val="00AC46C3"/>
    <w:rsid w:val="00AC4CAD"/>
    <w:rsid w:val="00AC5411"/>
    <w:rsid w:val="00AC5456"/>
    <w:rsid w:val="00AC54DA"/>
    <w:rsid w:val="00AC55B7"/>
    <w:rsid w:val="00AC5645"/>
    <w:rsid w:val="00AC5730"/>
    <w:rsid w:val="00AC5981"/>
    <w:rsid w:val="00AC5BF0"/>
    <w:rsid w:val="00AC5D77"/>
    <w:rsid w:val="00AC6181"/>
    <w:rsid w:val="00AC64A5"/>
    <w:rsid w:val="00AC66BD"/>
    <w:rsid w:val="00AC676A"/>
    <w:rsid w:val="00AC692C"/>
    <w:rsid w:val="00AC7322"/>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55E"/>
    <w:rsid w:val="00AD4BBE"/>
    <w:rsid w:val="00AD4D31"/>
    <w:rsid w:val="00AD53E5"/>
    <w:rsid w:val="00AD5B91"/>
    <w:rsid w:val="00AD5D86"/>
    <w:rsid w:val="00AD6194"/>
    <w:rsid w:val="00AD61D0"/>
    <w:rsid w:val="00AD61D5"/>
    <w:rsid w:val="00AD623E"/>
    <w:rsid w:val="00AD635D"/>
    <w:rsid w:val="00AD652A"/>
    <w:rsid w:val="00AD65F5"/>
    <w:rsid w:val="00AD69AB"/>
    <w:rsid w:val="00AD6D9F"/>
    <w:rsid w:val="00AD6E40"/>
    <w:rsid w:val="00AD7434"/>
    <w:rsid w:val="00AD778A"/>
    <w:rsid w:val="00AD7BB8"/>
    <w:rsid w:val="00AE03EB"/>
    <w:rsid w:val="00AE0562"/>
    <w:rsid w:val="00AE09CB"/>
    <w:rsid w:val="00AE09E4"/>
    <w:rsid w:val="00AE0D9B"/>
    <w:rsid w:val="00AE0DD5"/>
    <w:rsid w:val="00AE0FA0"/>
    <w:rsid w:val="00AE1C0C"/>
    <w:rsid w:val="00AE1D2B"/>
    <w:rsid w:val="00AE24B6"/>
    <w:rsid w:val="00AE2506"/>
    <w:rsid w:val="00AE2F19"/>
    <w:rsid w:val="00AE30DE"/>
    <w:rsid w:val="00AE3443"/>
    <w:rsid w:val="00AE373E"/>
    <w:rsid w:val="00AE3BA2"/>
    <w:rsid w:val="00AE3C7B"/>
    <w:rsid w:val="00AE4008"/>
    <w:rsid w:val="00AE45F6"/>
    <w:rsid w:val="00AE4D9D"/>
    <w:rsid w:val="00AE503B"/>
    <w:rsid w:val="00AE5071"/>
    <w:rsid w:val="00AE53F4"/>
    <w:rsid w:val="00AE5ABA"/>
    <w:rsid w:val="00AE5CE4"/>
    <w:rsid w:val="00AE7526"/>
    <w:rsid w:val="00AE758D"/>
    <w:rsid w:val="00AF02A1"/>
    <w:rsid w:val="00AF0364"/>
    <w:rsid w:val="00AF08AB"/>
    <w:rsid w:val="00AF0E59"/>
    <w:rsid w:val="00AF1083"/>
    <w:rsid w:val="00AF135A"/>
    <w:rsid w:val="00AF1416"/>
    <w:rsid w:val="00AF1B05"/>
    <w:rsid w:val="00AF1DA5"/>
    <w:rsid w:val="00AF1DC0"/>
    <w:rsid w:val="00AF26B4"/>
    <w:rsid w:val="00AF2885"/>
    <w:rsid w:val="00AF299D"/>
    <w:rsid w:val="00AF2A25"/>
    <w:rsid w:val="00AF2D3A"/>
    <w:rsid w:val="00AF314C"/>
    <w:rsid w:val="00AF3231"/>
    <w:rsid w:val="00AF330F"/>
    <w:rsid w:val="00AF38B9"/>
    <w:rsid w:val="00AF44E3"/>
    <w:rsid w:val="00AF454E"/>
    <w:rsid w:val="00AF461B"/>
    <w:rsid w:val="00AF4B09"/>
    <w:rsid w:val="00AF5266"/>
    <w:rsid w:val="00AF5542"/>
    <w:rsid w:val="00AF5B84"/>
    <w:rsid w:val="00AF5C98"/>
    <w:rsid w:val="00AF5EAA"/>
    <w:rsid w:val="00AF5EC3"/>
    <w:rsid w:val="00AF6273"/>
    <w:rsid w:val="00AF6332"/>
    <w:rsid w:val="00AF643E"/>
    <w:rsid w:val="00AF6512"/>
    <w:rsid w:val="00AF6846"/>
    <w:rsid w:val="00AF684F"/>
    <w:rsid w:val="00AF6D1B"/>
    <w:rsid w:val="00AF6E85"/>
    <w:rsid w:val="00AF6F2A"/>
    <w:rsid w:val="00AF6FD4"/>
    <w:rsid w:val="00AF71F8"/>
    <w:rsid w:val="00AF7638"/>
    <w:rsid w:val="00AF7A08"/>
    <w:rsid w:val="00AF7BA6"/>
    <w:rsid w:val="00B000CE"/>
    <w:rsid w:val="00B00585"/>
    <w:rsid w:val="00B00784"/>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B3"/>
    <w:rsid w:val="00B07C89"/>
    <w:rsid w:val="00B07F2F"/>
    <w:rsid w:val="00B10192"/>
    <w:rsid w:val="00B10274"/>
    <w:rsid w:val="00B10632"/>
    <w:rsid w:val="00B107AC"/>
    <w:rsid w:val="00B10E4C"/>
    <w:rsid w:val="00B10E7C"/>
    <w:rsid w:val="00B1138B"/>
    <w:rsid w:val="00B113BD"/>
    <w:rsid w:val="00B113EE"/>
    <w:rsid w:val="00B1194E"/>
    <w:rsid w:val="00B119D2"/>
    <w:rsid w:val="00B11FBA"/>
    <w:rsid w:val="00B12253"/>
    <w:rsid w:val="00B12A56"/>
    <w:rsid w:val="00B12B4F"/>
    <w:rsid w:val="00B12C65"/>
    <w:rsid w:val="00B13030"/>
    <w:rsid w:val="00B1383B"/>
    <w:rsid w:val="00B13B2F"/>
    <w:rsid w:val="00B142A1"/>
    <w:rsid w:val="00B1474F"/>
    <w:rsid w:val="00B1525F"/>
    <w:rsid w:val="00B1556B"/>
    <w:rsid w:val="00B15C1D"/>
    <w:rsid w:val="00B167D7"/>
    <w:rsid w:val="00B16BD1"/>
    <w:rsid w:val="00B16D53"/>
    <w:rsid w:val="00B16E75"/>
    <w:rsid w:val="00B17157"/>
    <w:rsid w:val="00B172FE"/>
    <w:rsid w:val="00B1767E"/>
    <w:rsid w:val="00B17B29"/>
    <w:rsid w:val="00B17B87"/>
    <w:rsid w:val="00B17F93"/>
    <w:rsid w:val="00B2012F"/>
    <w:rsid w:val="00B204D9"/>
    <w:rsid w:val="00B20828"/>
    <w:rsid w:val="00B209A5"/>
    <w:rsid w:val="00B20DB1"/>
    <w:rsid w:val="00B2164F"/>
    <w:rsid w:val="00B219D5"/>
    <w:rsid w:val="00B21E1D"/>
    <w:rsid w:val="00B22009"/>
    <w:rsid w:val="00B2279D"/>
    <w:rsid w:val="00B2280C"/>
    <w:rsid w:val="00B22D81"/>
    <w:rsid w:val="00B22D94"/>
    <w:rsid w:val="00B233C6"/>
    <w:rsid w:val="00B23C5D"/>
    <w:rsid w:val="00B23EEF"/>
    <w:rsid w:val="00B2420F"/>
    <w:rsid w:val="00B247C3"/>
    <w:rsid w:val="00B24803"/>
    <w:rsid w:val="00B249EA"/>
    <w:rsid w:val="00B24F6D"/>
    <w:rsid w:val="00B2530E"/>
    <w:rsid w:val="00B25366"/>
    <w:rsid w:val="00B25526"/>
    <w:rsid w:val="00B257D2"/>
    <w:rsid w:val="00B2591E"/>
    <w:rsid w:val="00B2627F"/>
    <w:rsid w:val="00B26938"/>
    <w:rsid w:val="00B26B0C"/>
    <w:rsid w:val="00B26BC8"/>
    <w:rsid w:val="00B26CE0"/>
    <w:rsid w:val="00B26D5B"/>
    <w:rsid w:val="00B26D76"/>
    <w:rsid w:val="00B26F44"/>
    <w:rsid w:val="00B26FE3"/>
    <w:rsid w:val="00B27478"/>
    <w:rsid w:val="00B274F7"/>
    <w:rsid w:val="00B275C8"/>
    <w:rsid w:val="00B2772B"/>
    <w:rsid w:val="00B27887"/>
    <w:rsid w:val="00B27CFE"/>
    <w:rsid w:val="00B27D38"/>
    <w:rsid w:val="00B300F7"/>
    <w:rsid w:val="00B30592"/>
    <w:rsid w:val="00B30595"/>
    <w:rsid w:val="00B30674"/>
    <w:rsid w:val="00B307FF"/>
    <w:rsid w:val="00B30D5F"/>
    <w:rsid w:val="00B30DFF"/>
    <w:rsid w:val="00B31475"/>
    <w:rsid w:val="00B315BD"/>
    <w:rsid w:val="00B31927"/>
    <w:rsid w:val="00B32655"/>
    <w:rsid w:val="00B32AE3"/>
    <w:rsid w:val="00B32B67"/>
    <w:rsid w:val="00B32B9C"/>
    <w:rsid w:val="00B32D19"/>
    <w:rsid w:val="00B33811"/>
    <w:rsid w:val="00B345C9"/>
    <w:rsid w:val="00B3465B"/>
    <w:rsid w:val="00B34AA6"/>
    <w:rsid w:val="00B350B8"/>
    <w:rsid w:val="00B3535C"/>
    <w:rsid w:val="00B3568E"/>
    <w:rsid w:val="00B3591A"/>
    <w:rsid w:val="00B36116"/>
    <w:rsid w:val="00B362E1"/>
    <w:rsid w:val="00B36DD8"/>
    <w:rsid w:val="00B3727D"/>
    <w:rsid w:val="00B37424"/>
    <w:rsid w:val="00B376CB"/>
    <w:rsid w:val="00B37D5F"/>
    <w:rsid w:val="00B4055D"/>
    <w:rsid w:val="00B407FE"/>
    <w:rsid w:val="00B40B82"/>
    <w:rsid w:val="00B40DF0"/>
    <w:rsid w:val="00B40E89"/>
    <w:rsid w:val="00B40EDA"/>
    <w:rsid w:val="00B412BB"/>
    <w:rsid w:val="00B413F3"/>
    <w:rsid w:val="00B414A7"/>
    <w:rsid w:val="00B4186C"/>
    <w:rsid w:val="00B41A06"/>
    <w:rsid w:val="00B41BF1"/>
    <w:rsid w:val="00B41DFB"/>
    <w:rsid w:val="00B4278A"/>
    <w:rsid w:val="00B42C49"/>
    <w:rsid w:val="00B42CF7"/>
    <w:rsid w:val="00B42D38"/>
    <w:rsid w:val="00B42DDD"/>
    <w:rsid w:val="00B42F46"/>
    <w:rsid w:val="00B43195"/>
    <w:rsid w:val="00B43BD0"/>
    <w:rsid w:val="00B44163"/>
    <w:rsid w:val="00B441B5"/>
    <w:rsid w:val="00B447A2"/>
    <w:rsid w:val="00B4497C"/>
    <w:rsid w:val="00B44A18"/>
    <w:rsid w:val="00B44A2A"/>
    <w:rsid w:val="00B45244"/>
    <w:rsid w:val="00B45546"/>
    <w:rsid w:val="00B455E1"/>
    <w:rsid w:val="00B45C32"/>
    <w:rsid w:val="00B46279"/>
    <w:rsid w:val="00B462CE"/>
    <w:rsid w:val="00B467BA"/>
    <w:rsid w:val="00B46CAF"/>
    <w:rsid w:val="00B472B4"/>
    <w:rsid w:val="00B47369"/>
    <w:rsid w:val="00B473B8"/>
    <w:rsid w:val="00B476D9"/>
    <w:rsid w:val="00B4786F"/>
    <w:rsid w:val="00B50022"/>
    <w:rsid w:val="00B5048B"/>
    <w:rsid w:val="00B505E7"/>
    <w:rsid w:val="00B507C3"/>
    <w:rsid w:val="00B507F0"/>
    <w:rsid w:val="00B508D0"/>
    <w:rsid w:val="00B50A09"/>
    <w:rsid w:val="00B50A3C"/>
    <w:rsid w:val="00B50B12"/>
    <w:rsid w:val="00B51098"/>
    <w:rsid w:val="00B51272"/>
    <w:rsid w:val="00B512A8"/>
    <w:rsid w:val="00B514EB"/>
    <w:rsid w:val="00B51603"/>
    <w:rsid w:val="00B51815"/>
    <w:rsid w:val="00B51AC3"/>
    <w:rsid w:val="00B52195"/>
    <w:rsid w:val="00B524BF"/>
    <w:rsid w:val="00B52514"/>
    <w:rsid w:val="00B5269F"/>
    <w:rsid w:val="00B5280D"/>
    <w:rsid w:val="00B52ACE"/>
    <w:rsid w:val="00B52BDD"/>
    <w:rsid w:val="00B52CE7"/>
    <w:rsid w:val="00B52FB0"/>
    <w:rsid w:val="00B53042"/>
    <w:rsid w:val="00B532A2"/>
    <w:rsid w:val="00B53864"/>
    <w:rsid w:val="00B5397B"/>
    <w:rsid w:val="00B53FD1"/>
    <w:rsid w:val="00B54523"/>
    <w:rsid w:val="00B54730"/>
    <w:rsid w:val="00B54B11"/>
    <w:rsid w:val="00B54CF2"/>
    <w:rsid w:val="00B55457"/>
    <w:rsid w:val="00B55954"/>
    <w:rsid w:val="00B559E8"/>
    <w:rsid w:val="00B5614F"/>
    <w:rsid w:val="00B564B1"/>
    <w:rsid w:val="00B56C12"/>
    <w:rsid w:val="00B56E04"/>
    <w:rsid w:val="00B57277"/>
    <w:rsid w:val="00B57425"/>
    <w:rsid w:val="00B57600"/>
    <w:rsid w:val="00B578A4"/>
    <w:rsid w:val="00B57A51"/>
    <w:rsid w:val="00B601CC"/>
    <w:rsid w:val="00B604B2"/>
    <w:rsid w:val="00B60508"/>
    <w:rsid w:val="00B605DB"/>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1F2"/>
    <w:rsid w:val="00B63424"/>
    <w:rsid w:val="00B63459"/>
    <w:rsid w:val="00B635C1"/>
    <w:rsid w:val="00B63823"/>
    <w:rsid w:val="00B639C3"/>
    <w:rsid w:val="00B63AB5"/>
    <w:rsid w:val="00B63D87"/>
    <w:rsid w:val="00B645DF"/>
    <w:rsid w:val="00B64A85"/>
    <w:rsid w:val="00B64BDA"/>
    <w:rsid w:val="00B64E5B"/>
    <w:rsid w:val="00B65160"/>
    <w:rsid w:val="00B657C4"/>
    <w:rsid w:val="00B65BAE"/>
    <w:rsid w:val="00B65CBB"/>
    <w:rsid w:val="00B65D7F"/>
    <w:rsid w:val="00B66086"/>
    <w:rsid w:val="00B6617A"/>
    <w:rsid w:val="00B66234"/>
    <w:rsid w:val="00B662A1"/>
    <w:rsid w:val="00B66657"/>
    <w:rsid w:val="00B66BC1"/>
    <w:rsid w:val="00B66D7D"/>
    <w:rsid w:val="00B67478"/>
    <w:rsid w:val="00B6797B"/>
    <w:rsid w:val="00B67A9B"/>
    <w:rsid w:val="00B67E80"/>
    <w:rsid w:val="00B70033"/>
    <w:rsid w:val="00B707F1"/>
    <w:rsid w:val="00B70B9B"/>
    <w:rsid w:val="00B70CFD"/>
    <w:rsid w:val="00B70D07"/>
    <w:rsid w:val="00B70EF4"/>
    <w:rsid w:val="00B714DF"/>
    <w:rsid w:val="00B7156B"/>
    <w:rsid w:val="00B7160A"/>
    <w:rsid w:val="00B71668"/>
    <w:rsid w:val="00B71794"/>
    <w:rsid w:val="00B7187E"/>
    <w:rsid w:val="00B718CC"/>
    <w:rsid w:val="00B71AD3"/>
    <w:rsid w:val="00B71B05"/>
    <w:rsid w:val="00B71DDC"/>
    <w:rsid w:val="00B720A7"/>
    <w:rsid w:val="00B722A2"/>
    <w:rsid w:val="00B7241E"/>
    <w:rsid w:val="00B7281C"/>
    <w:rsid w:val="00B72A70"/>
    <w:rsid w:val="00B72E8C"/>
    <w:rsid w:val="00B731CF"/>
    <w:rsid w:val="00B735CA"/>
    <w:rsid w:val="00B7383B"/>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775"/>
    <w:rsid w:val="00B76A06"/>
    <w:rsid w:val="00B76B26"/>
    <w:rsid w:val="00B77AF8"/>
    <w:rsid w:val="00B77F87"/>
    <w:rsid w:val="00B80165"/>
    <w:rsid w:val="00B8071F"/>
    <w:rsid w:val="00B808AB"/>
    <w:rsid w:val="00B809DC"/>
    <w:rsid w:val="00B80CFF"/>
    <w:rsid w:val="00B80F78"/>
    <w:rsid w:val="00B8104A"/>
    <w:rsid w:val="00B81227"/>
    <w:rsid w:val="00B8181D"/>
    <w:rsid w:val="00B81869"/>
    <w:rsid w:val="00B81D9C"/>
    <w:rsid w:val="00B820A8"/>
    <w:rsid w:val="00B826D7"/>
    <w:rsid w:val="00B82B83"/>
    <w:rsid w:val="00B82BC3"/>
    <w:rsid w:val="00B82DB8"/>
    <w:rsid w:val="00B8339A"/>
    <w:rsid w:val="00B835D7"/>
    <w:rsid w:val="00B83720"/>
    <w:rsid w:val="00B8375A"/>
    <w:rsid w:val="00B83A43"/>
    <w:rsid w:val="00B83E13"/>
    <w:rsid w:val="00B83E8B"/>
    <w:rsid w:val="00B83F07"/>
    <w:rsid w:val="00B83F38"/>
    <w:rsid w:val="00B84430"/>
    <w:rsid w:val="00B8458E"/>
    <w:rsid w:val="00B845FB"/>
    <w:rsid w:val="00B84D79"/>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3C9"/>
    <w:rsid w:val="00B9045A"/>
    <w:rsid w:val="00B9062C"/>
    <w:rsid w:val="00B90667"/>
    <w:rsid w:val="00B90A81"/>
    <w:rsid w:val="00B90C27"/>
    <w:rsid w:val="00B90CC8"/>
    <w:rsid w:val="00B90EDE"/>
    <w:rsid w:val="00B9123F"/>
    <w:rsid w:val="00B918D2"/>
    <w:rsid w:val="00B918D5"/>
    <w:rsid w:val="00B91980"/>
    <w:rsid w:val="00B919BC"/>
    <w:rsid w:val="00B91C7D"/>
    <w:rsid w:val="00B91EEE"/>
    <w:rsid w:val="00B92585"/>
    <w:rsid w:val="00B92A72"/>
    <w:rsid w:val="00B92B05"/>
    <w:rsid w:val="00B92CE4"/>
    <w:rsid w:val="00B9302A"/>
    <w:rsid w:val="00B93188"/>
    <w:rsid w:val="00B938EF"/>
    <w:rsid w:val="00B93A2D"/>
    <w:rsid w:val="00B940D2"/>
    <w:rsid w:val="00B94138"/>
    <w:rsid w:val="00B942B0"/>
    <w:rsid w:val="00B943DE"/>
    <w:rsid w:val="00B944E0"/>
    <w:rsid w:val="00B945F0"/>
    <w:rsid w:val="00B955E3"/>
    <w:rsid w:val="00B9568C"/>
    <w:rsid w:val="00B956C8"/>
    <w:rsid w:val="00B95847"/>
    <w:rsid w:val="00B96E9F"/>
    <w:rsid w:val="00B96FB9"/>
    <w:rsid w:val="00B9711B"/>
    <w:rsid w:val="00B97422"/>
    <w:rsid w:val="00BA0502"/>
    <w:rsid w:val="00BA06E3"/>
    <w:rsid w:val="00BA0A4C"/>
    <w:rsid w:val="00BA0A9F"/>
    <w:rsid w:val="00BA0AB3"/>
    <w:rsid w:val="00BA0DD8"/>
    <w:rsid w:val="00BA1C35"/>
    <w:rsid w:val="00BA27A3"/>
    <w:rsid w:val="00BA2999"/>
    <w:rsid w:val="00BA29FC"/>
    <w:rsid w:val="00BA2C72"/>
    <w:rsid w:val="00BA30D4"/>
    <w:rsid w:val="00BA342D"/>
    <w:rsid w:val="00BA34D0"/>
    <w:rsid w:val="00BA3519"/>
    <w:rsid w:val="00BA36C1"/>
    <w:rsid w:val="00BA39C8"/>
    <w:rsid w:val="00BA3CF7"/>
    <w:rsid w:val="00BA42D8"/>
    <w:rsid w:val="00BA44F5"/>
    <w:rsid w:val="00BA4921"/>
    <w:rsid w:val="00BA49F5"/>
    <w:rsid w:val="00BA4D19"/>
    <w:rsid w:val="00BA52EF"/>
    <w:rsid w:val="00BA53ED"/>
    <w:rsid w:val="00BA6012"/>
    <w:rsid w:val="00BA6434"/>
    <w:rsid w:val="00BA6629"/>
    <w:rsid w:val="00BA693A"/>
    <w:rsid w:val="00BA6AFA"/>
    <w:rsid w:val="00BA71BB"/>
    <w:rsid w:val="00BA71E2"/>
    <w:rsid w:val="00BA7279"/>
    <w:rsid w:val="00BA76BB"/>
    <w:rsid w:val="00BA7AEC"/>
    <w:rsid w:val="00BA7EFB"/>
    <w:rsid w:val="00BB010F"/>
    <w:rsid w:val="00BB038C"/>
    <w:rsid w:val="00BB0422"/>
    <w:rsid w:val="00BB04A2"/>
    <w:rsid w:val="00BB05E3"/>
    <w:rsid w:val="00BB0C26"/>
    <w:rsid w:val="00BB184F"/>
    <w:rsid w:val="00BB197D"/>
    <w:rsid w:val="00BB199B"/>
    <w:rsid w:val="00BB1F9C"/>
    <w:rsid w:val="00BB2263"/>
    <w:rsid w:val="00BB22BA"/>
    <w:rsid w:val="00BB230C"/>
    <w:rsid w:val="00BB234F"/>
    <w:rsid w:val="00BB24FE"/>
    <w:rsid w:val="00BB25A3"/>
    <w:rsid w:val="00BB2809"/>
    <w:rsid w:val="00BB2973"/>
    <w:rsid w:val="00BB2B66"/>
    <w:rsid w:val="00BB2CAB"/>
    <w:rsid w:val="00BB30FC"/>
    <w:rsid w:val="00BB3230"/>
    <w:rsid w:val="00BB32C0"/>
    <w:rsid w:val="00BB349B"/>
    <w:rsid w:val="00BB38E1"/>
    <w:rsid w:val="00BB3B8A"/>
    <w:rsid w:val="00BB3C34"/>
    <w:rsid w:val="00BB411F"/>
    <w:rsid w:val="00BB4640"/>
    <w:rsid w:val="00BB478C"/>
    <w:rsid w:val="00BB4903"/>
    <w:rsid w:val="00BB4943"/>
    <w:rsid w:val="00BB4CC7"/>
    <w:rsid w:val="00BB5498"/>
    <w:rsid w:val="00BB55FF"/>
    <w:rsid w:val="00BB5737"/>
    <w:rsid w:val="00BB5829"/>
    <w:rsid w:val="00BB5ABA"/>
    <w:rsid w:val="00BB632D"/>
    <w:rsid w:val="00BB6717"/>
    <w:rsid w:val="00BB6819"/>
    <w:rsid w:val="00BB6FDA"/>
    <w:rsid w:val="00BB7556"/>
    <w:rsid w:val="00BB7572"/>
    <w:rsid w:val="00BB7799"/>
    <w:rsid w:val="00BB7840"/>
    <w:rsid w:val="00BC0226"/>
    <w:rsid w:val="00BC0473"/>
    <w:rsid w:val="00BC04F5"/>
    <w:rsid w:val="00BC0769"/>
    <w:rsid w:val="00BC0C4B"/>
    <w:rsid w:val="00BC0D6C"/>
    <w:rsid w:val="00BC143C"/>
    <w:rsid w:val="00BC218C"/>
    <w:rsid w:val="00BC21BB"/>
    <w:rsid w:val="00BC22DE"/>
    <w:rsid w:val="00BC2465"/>
    <w:rsid w:val="00BC2648"/>
    <w:rsid w:val="00BC29F5"/>
    <w:rsid w:val="00BC2A66"/>
    <w:rsid w:val="00BC2FDD"/>
    <w:rsid w:val="00BC3122"/>
    <w:rsid w:val="00BC36B8"/>
    <w:rsid w:val="00BC3B8D"/>
    <w:rsid w:val="00BC3F2A"/>
    <w:rsid w:val="00BC463E"/>
    <w:rsid w:val="00BC4646"/>
    <w:rsid w:val="00BC4969"/>
    <w:rsid w:val="00BC4EE1"/>
    <w:rsid w:val="00BC549E"/>
    <w:rsid w:val="00BC56AF"/>
    <w:rsid w:val="00BC56F3"/>
    <w:rsid w:val="00BC5AD9"/>
    <w:rsid w:val="00BC6535"/>
    <w:rsid w:val="00BC68FD"/>
    <w:rsid w:val="00BC709A"/>
    <w:rsid w:val="00BC75BF"/>
    <w:rsid w:val="00BC7999"/>
    <w:rsid w:val="00BC7A47"/>
    <w:rsid w:val="00BD004F"/>
    <w:rsid w:val="00BD00C5"/>
    <w:rsid w:val="00BD0489"/>
    <w:rsid w:val="00BD0D23"/>
    <w:rsid w:val="00BD0DEF"/>
    <w:rsid w:val="00BD0E8D"/>
    <w:rsid w:val="00BD12C9"/>
    <w:rsid w:val="00BD17FF"/>
    <w:rsid w:val="00BD18BF"/>
    <w:rsid w:val="00BD19A1"/>
    <w:rsid w:val="00BD1AC8"/>
    <w:rsid w:val="00BD20CC"/>
    <w:rsid w:val="00BD2504"/>
    <w:rsid w:val="00BD2516"/>
    <w:rsid w:val="00BD26FE"/>
    <w:rsid w:val="00BD290B"/>
    <w:rsid w:val="00BD2A55"/>
    <w:rsid w:val="00BD2C51"/>
    <w:rsid w:val="00BD2F17"/>
    <w:rsid w:val="00BD2F2C"/>
    <w:rsid w:val="00BD31B8"/>
    <w:rsid w:val="00BD31CB"/>
    <w:rsid w:val="00BD3369"/>
    <w:rsid w:val="00BD361B"/>
    <w:rsid w:val="00BD3961"/>
    <w:rsid w:val="00BD3A81"/>
    <w:rsid w:val="00BD42B3"/>
    <w:rsid w:val="00BD4410"/>
    <w:rsid w:val="00BD468F"/>
    <w:rsid w:val="00BD4938"/>
    <w:rsid w:val="00BD4B2D"/>
    <w:rsid w:val="00BD4E25"/>
    <w:rsid w:val="00BD4E74"/>
    <w:rsid w:val="00BD502C"/>
    <w:rsid w:val="00BD5083"/>
    <w:rsid w:val="00BD50FC"/>
    <w:rsid w:val="00BD5DF6"/>
    <w:rsid w:val="00BD65F2"/>
    <w:rsid w:val="00BD6652"/>
    <w:rsid w:val="00BD6695"/>
    <w:rsid w:val="00BD691C"/>
    <w:rsid w:val="00BD6B64"/>
    <w:rsid w:val="00BD6FE2"/>
    <w:rsid w:val="00BD7504"/>
    <w:rsid w:val="00BD7737"/>
    <w:rsid w:val="00BD77F8"/>
    <w:rsid w:val="00BD7807"/>
    <w:rsid w:val="00BD7D0F"/>
    <w:rsid w:val="00BD7DF5"/>
    <w:rsid w:val="00BE0132"/>
    <w:rsid w:val="00BE0E84"/>
    <w:rsid w:val="00BE1449"/>
    <w:rsid w:val="00BE1A45"/>
    <w:rsid w:val="00BE1BF8"/>
    <w:rsid w:val="00BE1CAE"/>
    <w:rsid w:val="00BE2255"/>
    <w:rsid w:val="00BE2A62"/>
    <w:rsid w:val="00BE2BD1"/>
    <w:rsid w:val="00BE2CE1"/>
    <w:rsid w:val="00BE2EC1"/>
    <w:rsid w:val="00BE3153"/>
    <w:rsid w:val="00BE3163"/>
    <w:rsid w:val="00BE3442"/>
    <w:rsid w:val="00BE3BED"/>
    <w:rsid w:val="00BE3C59"/>
    <w:rsid w:val="00BE3C5D"/>
    <w:rsid w:val="00BE3C65"/>
    <w:rsid w:val="00BE3D88"/>
    <w:rsid w:val="00BE3DAE"/>
    <w:rsid w:val="00BE4201"/>
    <w:rsid w:val="00BE4238"/>
    <w:rsid w:val="00BE474F"/>
    <w:rsid w:val="00BE480F"/>
    <w:rsid w:val="00BE4BFA"/>
    <w:rsid w:val="00BE4C30"/>
    <w:rsid w:val="00BE4FD0"/>
    <w:rsid w:val="00BE5265"/>
    <w:rsid w:val="00BE56A9"/>
    <w:rsid w:val="00BE5719"/>
    <w:rsid w:val="00BE5CF6"/>
    <w:rsid w:val="00BE6494"/>
    <w:rsid w:val="00BE67F3"/>
    <w:rsid w:val="00BE6838"/>
    <w:rsid w:val="00BE6B12"/>
    <w:rsid w:val="00BE7078"/>
    <w:rsid w:val="00BE70C4"/>
    <w:rsid w:val="00BE7235"/>
    <w:rsid w:val="00BE754E"/>
    <w:rsid w:val="00BE7DAE"/>
    <w:rsid w:val="00BE7F80"/>
    <w:rsid w:val="00BF01D9"/>
    <w:rsid w:val="00BF0D68"/>
    <w:rsid w:val="00BF0FA8"/>
    <w:rsid w:val="00BF114F"/>
    <w:rsid w:val="00BF1B5D"/>
    <w:rsid w:val="00BF1B6C"/>
    <w:rsid w:val="00BF2090"/>
    <w:rsid w:val="00BF21F6"/>
    <w:rsid w:val="00BF2450"/>
    <w:rsid w:val="00BF2B79"/>
    <w:rsid w:val="00BF2CE6"/>
    <w:rsid w:val="00BF2D12"/>
    <w:rsid w:val="00BF310F"/>
    <w:rsid w:val="00BF3525"/>
    <w:rsid w:val="00BF358E"/>
    <w:rsid w:val="00BF368D"/>
    <w:rsid w:val="00BF36F2"/>
    <w:rsid w:val="00BF38F0"/>
    <w:rsid w:val="00BF3F1E"/>
    <w:rsid w:val="00BF4753"/>
    <w:rsid w:val="00BF477C"/>
    <w:rsid w:val="00BF4830"/>
    <w:rsid w:val="00BF4AC4"/>
    <w:rsid w:val="00BF4D60"/>
    <w:rsid w:val="00BF4FB2"/>
    <w:rsid w:val="00BF502F"/>
    <w:rsid w:val="00BF50C9"/>
    <w:rsid w:val="00BF5833"/>
    <w:rsid w:val="00BF5D6B"/>
    <w:rsid w:val="00BF5D94"/>
    <w:rsid w:val="00BF5E9F"/>
    <w:rsid w:val="00BF5F55"/>
    <w:rsid w:val="00BF6672"/>
    <w:rsid w:val="00BF69CB"/>
    <w:rsid w:val="00BF6DEA"/>
    <w:rsid w:val="00BF6E83"/>
    <w:rsid w:val="00BF6FA9"/>
    <w:rsid w:val="00BF740D"/>
    <w:rsid w:val="00BF75E3"/>
    <w:rsid w:val="00BF76A7"/>
    <w:rsid w:val="00BF76E9"/>
    <w:rsid w:val="00BF7723"/>
    <w:rsid w:val="00C00159"/>
    <w:rsid w:val="00C002D6"/>
    <w:rsid w:val="00C003AC"/>
    <w:rsid w:val="00C005CB"/>
    <w:rsid w:val="00C011F9"/>
    <w:rsid w:val="00C0154C"/>
    <w:rsid w:val="00C016A0"/>
    <w:rsid w:val="00C01BBF"/>
    <w:rsid w:val="00C01E03"/>
    <w:rsid w:val="00C01F19"/>
    <w:rsid w:val="00C021EB"/>
    <w:rsid w:val="00C026D8"/>
    <w:rsid w:val="00C0299C"/>
    <w:rsid w:val="00C02A10"/>
    <w:rsid w:val="00C02AA7"/>
    <w:rsid w:val="00C02F76"/>
    <w:rsid w:val="00C0303F"/>
    <w:rsid w:val="00C034D3"/>
    <w:rsid w:val="00C03A62"/>
    <w:rsid w:val="00C03A67"/>
    <w:rsid w:val="00C03F63"/>
    <w:rsid w:val="00C04741"/>
    <w:rsid w:val="00C04836"/>
    <w:rsid w:val="00C04926"/>
    <w:rsid w:val="00C04B0D"/>
    <w:rsid w:val="00C04B1D"/>
    <w:rsid w:val="00C04EEE"/>
    <w:rsid w:val="00C0523F"/>
    <w:rsid w:val="00C0569E"/>
    <w:rsid w:val="00C05787"/>
    <w:rsid w:val="00C061DA"/>
    <w:rsid w:val="00C06369"/>
    <w:rsid w:val="00C06824"/>
    <w:rsid w:val="00C06CE1"/>
    <w:rsid w:val="00C070FF"/>
    <w:rsid w:val="00C0764C"/>
    <w:rsid w:val="00C0789A"/>
    <w:rsid w:val="00C10131"/>
    <w:rsid w:val="00C1054A"/>
    <w:rsid w:val="00C1060B"/>
    <w:rsid w:val="00C106C5"/>
    <w:rsid w:val="00C1089D"/>
    <w:rsid w:val="00C10D91"/>
    <w:rsid w:val="00C1157E"/>
    <w:rsid w:val="00C11631"/>
    <w:rsid w:val="00C1182C"/>
    <w:rsid w:val="00C11A5D"/>
    <w:rsid w:val="00C11AFC"/>
    <w:rsid w:val="00C120D2"/>
    <w:rsid w:val="00C12139"/>
    <w:rsid w:val="00C123A6"/>
    <w:rsid w:val="00C12459"/>
    <w:rsid w:val="00C12ADC"/>
    <w:rsid w:val="00C12B01"/>
    <w:rsid w:val="00C12B80"/>
    <w:rsid w:val="00C12E2E"/>
    <w:rsid w:val="00C12FA1"/>
    <w:rsid w:val="00C130EA"/>
    <w:rsid w:val="00C13575"/>
    <w:rsid w:val="00C13960"/>
    <w:rsid w:val="00C13EE0"/>
    <w:rsid w:val="00C13F56"/>
    <w:rsid w:val="00C14352"/>
    <w:rsid w:val="00C14403"/>
    <w:rsid w:val="00C144F9"/>
    <w:rsid w:val="00C14772"/>
    <w:rsid w:val="00C14BB0"/>
    <w:rsid w:val="00C14E55"/>
    <w:rsid w:val="00C14F0C"/>
    <w:rsid w:val="00C15066"/>
    <w:rsid w:val="00C1527C"/>
    <w:rsid w:val="00C15721"/>
    <w:rsid w:val="00C15794"/>
    <w:rsid w:val="00C1599B"/>
    <w:rsid w:val="00C15C70"/>
    <w:rsid w:val="00C15CD9"/>
    <w:rsid w:val="00C15D9B"/>
    <w:rsid w:val="00C169D2"/>
    <w:rsid w:val="00C16A00"/>
    <w:rsid w:val="00C16B9C"/>
    <w:rsid w:val="00C16F23"/>
    <w:rsid w:val="00C17326"/>
    <w:rsid w:val="00C17A1E"/>
    <w:rsid w:val="00C17A9C"/>
    <w:rsid w:val="00C17B4B"/>
    <w:rsid w:val="00C2012C"/>
    <w:rsid w:val="00C20279"/>
    <w:rsid w:val="00C206A9"/>
    <w:rsid w:val="00C20926"/>
    <w:rsid w:val="00C20D74"/>
    <w:rsid w:val="00C211E2"/>
    <w:rsid w:val="00C2191A"/>
    <w:rsid w:val="00C21F7B"/>
    <w:rsid w:val="00C220B7"/>
    <w:rsid w:val="00C22E0A"/>
    <w:rsid w:val="00C22EB7"/>
    <w:rsid w:val="00C235D3"/>
    <w:rsid w:val="00C236F9"/>
    <w:rsid w:val="00C239E4"/>
    <w:rsid w:val="00C23DB1"/>
    <w:rsid w:val="00C23E6C"/>
    <w:rsid w:val="00C2458F"/>
    <w:rsid w:val="00C24A07"/>
    <w:rsid w:val="00C24C31"/>
    <w:rsid w:val="00C24C85"/>
    <w:rsid w:val="00C24F81"/>
    <w:rsid w:val="00C25349"/>
    <w:rsid w:val="00C25448"/>
    <w:rsid w:val="00C25616"/>
    <w:rsid w:val="00C2586D"/>
    <w:rsid w:val="00C25ADF"/>
    <w:rsid w:val="00C25B0E"/>
    <w:rsid w:val="00C25CC7"/>
    <w:rsid w:val="00C25E6B"/>
    <w:rsid w:val="00C25FC9"/>
    <w:rsid w:val="00C26106"/>
    <w:rsid w:val="00C26307"/>
    <w:rsid w:val="00C26969"/>
    <w:rsid w:val="00C26CB5"/>
    <w:rsid w:val="00C271FF"/>
    <w:rsid w:val="00C27787"/>
    <w:rsid w:val="00C27825"/>
    <w:rsid w:val="00C27F15"/>
    <w:rsid w:val="00C3023D"/>
    <w:rsid w:val="00C30579"/>
    <w:rsid w:val="00C3092E"/>
    <w:rsid w:val="00C30DE1"/>
    <w:rsid w:val="00C30E2E"/>
    <w:rsid w:val="00C310BB"/>
    <w:rsid w:val="00C31D9C"/>
    <w:rsid w:val="00C31E77"/>
    <w:rsid w:val="00C32037"/>
    <w:rsid w:val="00C32653"/>
    <w:rsid w:val="00C32C77"/>
    <w:rsid w:val="00C32CFC"/>
    <w:rsid w:val="00C32E88"/>
    <w:rsid w:val="00C32EE4"/>
    <w:rsid w:val="00C3326B"/>
    <w:rsid w:val="00C336C4"/>
    <w:rsid w:val="00C33787"/>
    <w:rsid w:val="00C337D1"/>
    <w:rsid w:val="00C33C83"/>
    <w:rsid w:val="00C3417F"/>
    <w:rsid w:val="00C346DE"/>
    <w:rsid w:val="00C3475F"/>
    <w:rsid w:val="00C34BD2"/>
    <w:rsid w:val="00C34EBF"/>
    <w:rsid w:val="00C359A1"/>
    <w:rsid w:val="00C359D6"/>
    <w:rsid w:val="00C36024"/>
    <w:rsid w:val="00C36263"/>
    <w:rsid w:val="00C362E7"/>
    <w:rsid w:val="00C36682"/>
    <w:rsid w:val="00C368AA"/>
    <w:rsid w:val="00C3704A"/>
    <w:rsid w:val="00C37181"/>
    <w:rsid w:val="00C37247"/>
    <w:rsid w:val="00C3725F"/>
    <w:rsid w:val="00C37317"/>
    <w:rsid w:val="00C37527"/>
    <w:rsid w:val="00C40382"/>
    <w:rsid w:val="00C404D1"/>
    <w:rsid w:val="00C40818"/>
    <w:rsid w:val="00C408FA"/>
    <w:rsid w:val="00C40E36"/>
    <w:rsid w:val="00C40FCB"/>
    <w:rsid w:val="00C41207"/>
    <w:rsid w:val="00C412CF"/>
    <w:rsid w:val="00C412D0"/>
    <w:rsid w:val="00C41814"/>
    <w:rsid w:val="00C41883"/>
    <w:rsid w:val="00C418FC"/>
    <w:rsid w:val="00C41A12"/>
    <w:rsid w:val="00C41C6F"/>
    <w:rsid w:val="00C41DE3"/>
    <w:rsid w:val="00C42389"/>
    <w:rsid w:val="00C4299D"/>
    <w:rsid w:val="00C42ED0"/>
    <w:rsid w:val="00C42F86"/>
    <w:rsid w:val="00C431A6"/>
    <w:rsid w:val="00C4322D"/>
    <w:rsid w:val="00C433B1"/>
    <w:rsid w:val="00C43B22"/>
    <w:rsid w:val="00C4428E"/>
    <w:rsid w:val="00C44700"/>
    <w:rsid w:val="00C44816"/>
    <w:rsid w:val="00C44D76"/>
    <w:rsid w:val="00C45174"/>
    <w:rsid w:val="00C45A43"/>
    <w:rsid w:val="00C45E4A"/>
    <w:rsid w:val="00C45EDA"/>
    <w:rsid w:val="00C465B6"/>
    <w:rsid w:val="00C4692C"/>
    <w:rsid w:val="00C46C98"/>
    <w:rsid w:val="00C46FEA"/>
    <w:rsid w:val="00C47001"/>
    <w:rsid w:val="00C4751B"/>
    <w:rsid w:val="00C47D16"/>
    <w:rsid w:val="00C47D3D"/>
    <w:rsid w:val="00C47F04"/>
    <w:rsid w:val="00C5010F"/>
    <w:rsid w:val="00C50202"/>
    <w:rsid w:val="00C5031C"/>
    <w:rsid w:val="00C505CB"/>
    <w:rsid w:val="00C50921"/>
    <w:rsid w:val="00C50A3E"/>
    <w:rsid w:val="00C50F16"/>
    <w:rsid w:val="00C510FB"/>
    <w:rsid w:val="00C5156D"/>
    <w:rsid w:val="00C515DF"/>
    <w:rsid w:val="00C519B4"/>
    <w:rsid w:val="00C51A27"/>
    <w:rsid w:val="00C51A82"/>
    <w:rsid w:val="00C51CF5"/>
    <w:rsid w:val="00C51CFF"/>
    <w:rsid w:val="00C52043"/>
    <w:rsid w:val="00C52134"/>
    <w:rsid w:val="00C52163"/>
    <w:rsid w:val="00C52190"/>
    <w:rsid w:val="00C5247A"/>
    <w:rsid w:val="00C525C1"/>
    <w:rsid w:val="00C52739"/>
    <w:rsid w:val="00C52A69"/>
    <w:rsid w:val="00C53410"/>
    <w:rsid w:val="00C53AEE"/>
    <w:rsid w:val="00C53F2D"/>
    <w:rsid w:val="00C5449A"/>
    <w:rsid w:val="00C546DB"/>
    <w:rsid w:val="00C547D4"/>
    <w:rsid w:val="00C54953"/>
    <w:rsid w:val="00C54A57"/>
    <w:rsid w:val="00C54AF6"/>
    <w:rsid w:val="00C54BE0"/>
    <w:rsid w:val="00C54C19"/>
    <w:rsid w:val="00C54F75"/>
    <w:rsid w:val="00C55458"/>
    <w:rsid w:val="00C55666"/>
    <w:rsid w:val="00C55861"/>
    <w:rsid w:val="00C55AD6"/>
    <w:rsid w:val="00C56079"/>
    <w:rsid w:val="00C5609B"/>
    <w:rsid w:val="00C56440"/>
    <w:rsid w:val="00C56B59"/>
    <w:rsid w:val="00C56D59"/>
    <w:rsid w:val="00C56E34"/>
    <w:rsid w:val="00C5741B"/>
    <w:rsid w:val="00C5743E"/>
    <w:rsid w:val="00C5763A"/>
    <w:rsid w:val="00C57920"/>
    <w:rsid w:val="00C57AA5"/>
    <w:rsid w:val="00C57AB0"/>
    <w:rsid w:val="00C57D5F"/>
    <w:rsid w:val="00C603C6"/>
    <w:rsid w:val="00C60902"/>
    <w:rsid w:val="00C60C93"/>
    <w:rsid w:val="00C60DAE"/>
    <w:rsid w:val="00C616A8"/>
    <w:rsid w:val="00C62131"/>
    <w:rsid w:val="00C622D6"/>
    <w:rsid w:val="00C62397"/>
    <w:rsid w:val="00C624AE"/>
    <w:rsid w:val="00C62753"/>
    <w:rsid w:val="00C62804"/>
    <w:rsid w:val="00C63EE5"/>
    <w:rsid w:val="00C640D2"/>
    <w:rsid w:val="00C64444"/>
    <w:rsid w:val="00C646A2"/>
    <w:rsid w:val="00C6498B"/>
    <w:rsid w:val="00C64AAF"/>
    <w:rsid w:val="00C64BB1"/>
    <w:rsid w:val="00C64C73"/>
    <w:rsid w:val="00C653D5"/>
    <w:rsid w:val="00C653D7"/>
    <w:rsid w:val="00C654F2"/>
    <w:rsid w:val="00C6554E"/>
    <w:rsid w:val="00C65E83"/>
    <w:rsid w:val="00C664FD"/>
    <w:rsid w:val="00C66697"/>
    <w:rsid w:val="00C666F1"/>
    <w:rsid w:val="00C66C32"/>
    <w:rsid w:val="00C66D1E"/>
    <w:rsid w:val="00C66E63"/>
    <w:rsid w:val="00C67293"/>
    <w:rsid w:val="00C674C5"/>
    <w:rsid w:val="00C67DA6"/>
    <w:rsid w:val="00C67E97"/>
    <w:rsid w:val="00C70011"/>
    <w:rsid w:val="00C70089"/>
    <w:rsid w:val="00C70315"/>
    <w:rsid w:val="00C7060B"/>
    <w:rsid w:val="00C70D5A"/>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2C1"/>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E69"/>
    <w:rsid w:val="00C77F03"/>
    <w:rsid w:val="00C77F57"/>
    <w:rsid w:val="00C80617"/>
    <w:rsid w:val="00C80CC5"/>
    <w:rsid w:val="00C8119E"/>
    <w:rsid w:val="00C81356"/>
    <w:rsid w:val="00C816E7"/>
    <w:rsid w:val="00C819C2"/>
    <w:rsid w:val="00C81C94"/>
    <w:rsid w:val="00C81ED1"/>
    <w:rsid w:val="00C82144"/>
    <w:rsid w:val="00C82433"/>
    <w:rsid w:val="00C82575"/>
    <w:rsid w:val="00C82750"/>
    <w:rsid w:val="00C829CB"/>
    <w:rsid w:val="00C83241"/>
    <w:rsid w:val="00C83629"/>
    <w:rsid w:val="00C8422D"/>
    <w:rsid w:val="00C84388"/>
    <w:rsid w:val="00C845F6"/>
    <w:rsid w:val="00C857F9"/>
    <w:rsid w:val="00C85C50"/>
    <w:rsid w:val="00C860CA"/>
    <w:rsid w:val="00C86652"/>
    <w:rsid w:val="00C866AC"/>
    <w:rsid w:val="00C8699F"/>
    <w:rsid w:val="00C86C52"/>
    <w:rsid w:val="00C86FB3"/>
    <w:rsid w:val="00C8703F"/>
    <w:rsid w:val="00C873F8"/>
    <w:rsid w:val="00C874AE"/>
    <w:rsid w:val="00C87949"/>
    <w:rsid w:val="00C87E5E"/>
    <w:rsid w:val="00C90358"/>
    <w:rsid w:val="00C905AD"/>
    <w:rsid w:val="00C90A15"/>
    <w:rsid w:val="00C90B2F"/>
    <w:rsid w:val="00C90B97"/>
    <w:rsid w:val="00C90CF8"/>
    <w:rsid w:val="00C913D3"/>
    <w:rsid w:val="00C91558"/>
    <w:rsid w:val="00C9248A"/>
    <w:rsid w:val="00C92501"/>
    <w:rsid w:val="00C92665"/>
    <w:rsid w:val="00C928F8"/>
    <w:rsid w:val="00C93050"/>
    <w:rsid w:val="00C931D6"/>
    <w:rsid w:val="00C9349E"/>
    <w:rsid w:val="00C94134"/>
    <w:rsid w:val="00C9452E"/>
    <w:rsid w:val="00C94541"/>
    <w:rsid w:val="00C945E1"/>
    <w:rsid w:val="00C9530E"/>
    <w:rsid w:val="00C9553A"/>
    <w:rsid w:val="00C95A43"/>
    <w:rsid w:val="00C95BE1"/>
    <w:rsid w:val="00C95C51"/>
    <w:rsid w:val="00C95C80"/>
    <w:rsid w:val="00C95D40"/>
    <w:rsid w:val="00C95FBC"/>
    <w:rsid w:val="00C9603D"/>
    <w:rsid w:val="00C96633"/>
    <w:rsid w:val="00C9669F"/>
    <w:rsid w:val="00C9689F"/>
    <w:rsid w:val="00C9763E"/>
    <w:rsid w:val="00CA0305"/>
    <w:rsid w:val="00CA0D89"/>
    <w:rsid w:val="00CA1193"/>
    <w:rsid w:val="00CA1372"/>
    <w:rsid w:val="00CA1647"/>
    <w:rsid w:val="00CA1E9A"/>
    <w:rsid w:val="00CA2253"/>
    <w:rsid w:val="00CA24D3"/>
    <w:rsid w:val="00CA2577"/>
    <w:rsid w:val="00CA25B0"/>
    <w:rsid w:val="00CA26A6"/>
    <w:rsid w:val="00CA26E0"/>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24C"/>
    <w:rsid w:val="00CA6499"/>
    <w:rsid w:val="00CA6857"/>
    <w:rsid w:val="00CA6FD6"/>
    <w:rsid w:val="00CA7A43"/>
    <w:rsid w:val="00CA7A9E"/>
    <w:rsid w:val="00CB03A9"/>
    <w:rsid w:val="00CB0996"/>
    <w:rsid w:val="00CB0A3B"/>
    <w:rsid w:val="00CB0E32"/>
    <w:rsid w:val="00CB13C0"/>
    <w:rsid w:val="00CB153B"/>
    <w:rsid w:val="00CB171E"/>
    <w:rsid w:val="00CB1B56"/>
    <w:rsid w:val="00CB1C52"/>
    <w:rsid w:val="00CB207B"/>
    <w:rsid w:val="00CB261D"/>
    <w:rsid w:val="00CB26AA"/>
    <w:rsid w:val="00CB29E3"/>
    <w:rsid w:val="00CB2BBC"/>
    <w:rsid w:val="00CB2DE6"/>
    <w:rsid w:val="00CB309F"/>
    <w:rsid w:val="00CB31C8"/>
    <w:rsid w:val="00CB3214"/>
    <w:rsid w:val="00CB34F5"/>
    <w:rsid w:val="00CB3658"/>
    <w:rsid w:val="00CB3F43"/>
    <w:rsid w:val="00CB3F57"/>
    <w:rsid w:val="00CB414C"/>
    <w:rsid w:val="00CB462F"/>
    <w:rsid w:val="00CB48EE"/>
    <w:rsid w:val="00CB4BD2"/>
    <w:rsid w:val="00CB5020"/>
    <w:rsid w:val="00CB545D"/>
    <w:rsid w:val="00CB59F5"/>
    <w:rsid w:val="00CB5AAE"/>
    <w:rsid w:val="00CB5CB1"/>
    <w:rsid w:val="00CB5D14"/>
    <w:rsid w:val="00CB5F82"/>
    <w:rsid w:val="00CB6036"/>
    <w:rsid w:val="00CB615D"/>
    <w:rsid w:val="00CB62E2"/>
    <w:rsid w:val="00CB63B9"/>
    <w:rsid w:val="00CB6417"/>
    <w:rsid w:val="00CB70E7"/>
    <w:rsid w:val="00CB7314"/>
    <w:rsid w:val="00CB732D"/>
    <w:rsid w:val="00CB7598"/>
    <w:rsid w:val="00CB75B6"/>
    <w:rsid w:val="00CB7A1D"/>
    <w:rsid w:val="00CB7AA8"/>
    <w:rsid w:val="00CB7BE2"/>
    <w:rsid w:val="00CB7ED4"/>
    <w:rsid w:val="00CC00A9"/>
    <w:rsid w:val="00CC0134"/>
    <w:rsid w:val="00CC028B"/>
    <w:rsid w:val="00CC0C9B"/>
    <w:rsid w:val="00CC0E94"/>
    <w:rsid w:val="00CC1178"/>
    <w:rsid w:val="00CC125E"/>
    <w:rsid w:val="00CC12DB"/>
    <w:rsid w:val="00CC1630"/>
    <w:rsid w:val="00CC168F"/>
    <w:rsid w:val="00CC16BF"/>
    <w:rsid w:val="00CC1A39"/>
    <w:rsid w:val="00CC1E75"/>
    <w:rsid w:val="00CC2095"/>
    <w:rsid w:val="00CC2345"/>
    <w:rsid w:val="00CC2455"/>
    <w:rsid w:val="00CC298A"/>
    <w:rsid w:val="00CC29A4"/>
    <w:rsid w:val="00CC35EC"/>
    <w:rsid w:val="00CC39BB"/>
    <w:rsid w:val="00CC3B4C"/>
    <w:rsid w:val="00CC3C10"/>
    <w:rsid w:val="00CC481A"/>
    <w:rsid w:val="00CC48D8"/>
    <w:rsid w:val="00CC49BF"/>
    <w:rsid w:val="00CC4C07"/>
    <w:rsid w:val="00CC51F3"/>
    <w:rsid w:val="00CC5392"/>
    <w:rsid w:val="00CC59E0"/>
    <w:rsid w:val="00CC5A43"/>
    <w:rsid w:val="00CC5D55"/>
    <w:rsid w:val="00CC6298"/>
    <w:rsid w:val="00CC6651"/>
    <w:rsid w:val="00CC6830"/>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86B"/>
    <w:rsid w:val="00CD2AEC"/>
    <w:rsid w:val="00CD2B78"/>
    <w:rsid w:val="00CD2DC6"/>
    <w:rsid w:val="00CD2F92"/>
    <w:rsid w:val="00CD30B8"/>
    <w:rsid w:val="00CD30DA"/>
    <w:rsid w:val="00CD338E"/>
    <w:rsid w:val="00CD349E"/>
    <w:rsid w:val="00CD38AA"/>
    <w:rsid w:val="00CD4515"/>
    <w:rsid w:val="00CD4598"/>
    <w:rsid w:val="00CD476C"/>
    <w:rsid w:val="00CD4CBE"/>
    <w:rsid w:val="00CD4CD1"/>
    <w:rsid w:val="00CD515A"/>
    <w:rsid w:val="00CD57A4"/>
    <w:rsid w:val="00CD57C9"/>
    <w:rsid w:val="00CD58C1"/>
    <w:rsid w:val="00CD5CDC"/>
    <w:rsid w:val="00CD5D46"/>
    <w:rsid w:val="00CD5E12"/>
    <w:rsid w:val="00CD60EE"/>
    <w:rsid w:val="00CD66C0"/>
    <w:rsid w:val="00CD6DD4"/>
    <w:rsid w:val="00CD7251"/>
    <w:rsid w:val="00CD727D"/>
    <w:rsid w:val="00CD7771"/>
    <w:rsid w:val="00CD78B4"/>
    <w:rsid w:val="00CE047B"/>
    <w:rsid w:val="00CE0582"/>
    <w:rsid w:val="00CE0738"/>
    <w:rsid w:val="00CE09EC"/>
    <w:rsid w:val="00CE0FFA"/>
    <w:rsid w:val="00CE15C6"/>
    <w:rsid w:val="00CE1AC4"/>
    <w:rsid w:val="00CE2049"/>
    <w:rsid w:val="00CE2574"/>
    <w:rsid w:val="00CE2F79"/>
    <w:rsid w:val="00CE32E8"/>
    <w:rsid w:val="00CE374C"/>
    <w:rsid w:val="00CE3B4A"/>
    <w:rsid w:val="00CE3C9A"/>
    <w:rsid w:val="00CE3E1B"/>
    <w:rsid w:val="00CE4062"/>
    <w:rsid w:val="00CE478E"/>
    <w:rsid w:val="00CE4CE0"/>
    <w:rsid w:val="00CE4FAD"/>
    <w:rsid w:val="00CE5433"/>
    <w:rsid w:val="00CE57AA"/>
    <w:rsid w:val="00CE58DD"/>
    <w:rsid w:val="00CE5D60"/>
    <w:rsid w:val="00CE6159"/>
    <w:rsid w:val="00CE61AE"/>
    <w:rsid w:val="00CE676F"/>
    <w:rsid w:val="00CE6D7B"/>
    <w:rsid w:val="00CE6D85"/>
    <w:rsid w:val="00CE6EBB"/>
    <w:rsid w:val="00CE6F55"/>
    <w:rsid w:val="00CE71F8"/>
    <w:rsid w:val="00CE7494"/>
    <w:rsid w:val="00CE74E5"/>
    <w:rsid w:val="00CE771B"/>
    <w:rsid w:val="00CE777C"/>
    <w:rsid w:val="00CE78E5"/>
    <w:rsid w:val="00CE7990"/>
    <w:rsid w:val="00CF04DA"/>
    <w:rsid w:val="00CF0722"/>
    <w:rsid w:val="00CF0801"/>
    <w:rsid w:val="00CF094E"/>
    <w:rsid w:val="00CF0CB7"/>
    <w:rsid w:val="00CF0EAB"/>
    <w:rsid w:val="00CF0EC7"/>
    <w:rsid w:val="00CF10F5"/>
    <w:rsid w:val="00CF167D"/>
    <w:rsid w:val="00CF16B7"/>
    <w:rsid w:val="00CF190E"/>
    <w:rsid w:val="00CF19E0"/>
    <w:rsid w:val="00CF21C7"/>
    <w:rsid w:val="00CF24E6"/>
    <w:rsid w:val="00CF2825"/>
    <w:rsid w:val="00CF29A5"/>
    <w:rsid w:val="00CF3209"/>
    <w:rsid w:val="00CF32A9"/>
    <w:rsid w:val="00CF3D8A"/>
    <w:rsid w:val="00CF45AD"/>
    <w:rsid w:val="00CF4678"/>
    <w:rsid w:val="00CF4704"/>
    <w:rsid w:val="00CF47E5"/>
    <w:rsid w:val="00CF4ABD"/>
    <w:rsid w:val="00CF52AF"/>
    <w:rsid w:val="00CF5469"/>
    <w:rsid w:val="00CF5633"/>
    <w:rsid w:val="00CF5895"/>
    <w:rsid w:val="00CF5DC0"/>
    <w:rsid w:val="00CF661E"/>
    <w:rsid w:val="00CF6660"/>
    <w:rsid w:val="00CF7152"/>
    <w:rsid w:val="00CF774C"/>
    <w:rsid w:val="00CF7B1B"/>
    <w:rsid w:val="00D00346"/>
    <w:rsid w:val="00D00591"/>
    <w:rsid w:val="00D006B6"/>
    <w:rsid w:val="00D00E05"/>
    <w:rsid w:val="00D01922"/>
    <w:rsid w:val="00D0245B"/>
    <w:rsid w:val="00D0301B"/>
    <w:rsid w:val="00D03178"/>
    <w:rsid w:val="00D03877"/>
    <w:rsid w:val="00D03918"/>
    <w:rsid w:val="00D03C6E"/>
    <w:rsid w:val="00D03C78"/>
    <w:rsid w:val="00D03E8B"/>
    <w:rsid w:val="00D04619"/>
    <w:rsid w:val="00D04BEB"/>
    <w:rsid w:val="00D04F26"/>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1256"/>
    <w:rsid w:val="00D120F8"/>
    <w:rsid w:val="00D12264"/>
    <w:rsid w:val="00D12497"/>
    <w:rsid w:val="00D13083"/>
    <w:rsid w:val="00D13356"/>
    <w:rsid w:val="00D133CC"/>
    <w:rsid w:val="00D13531"/>
    <w:rsid w:val="00D13777"/>
    <w:rsid w:val="00D13B30"/>
    <w:rsid w:val="00D13B64"/>
    <w:rsid w:val="00D13E98"/>
    <w:rsid w:val="00D14057"/>
    <w:rsid w:val="00D14207"/>
    <w:rsid w:val="00D1422D"/>
    <w:rsid w:val="00D14ABE"/>
    <w:rsid w:val="00D15010"/>
    <w:rsid w:val="00D15115"/>
    <w:rsid w:val="00D153A4"/>
    <w:rsid w:val="00D15631"/>
    <w:rsid w:val="00D15F49"/>
    <w:rsid w:val="00D15F89"/>
    <w:rsid w:val="00D15FAD"/>
    <w:rsid w:val="00D1626B"/>
    <w:rsid w:val="00D168E8"/>
    <w:rsid w:val="00D1691A"/>
    <w:rsid w:val="00D16D96"/>
    <w:rsid w:val="00D17019"/>
    <w:rsid w:val="00D1712E"/>
    <w:rsid w:val="00D173F8"/>
    <w:rsid w:val="00D177E3"/>
    <w:rsid w:val="00D17924"/>
    <w:rsid w:val="00D17C16"/>
    <w:rsid w:val="00D17D73"/>
    <w:rsid w:val="00D20227"/>
    <w:rsid w:val="00D20317"/>
    <w:rsid w:val="00D205FB"/>
    <w:rsid w:val="00D20DD9"/>
    <w:rsid w:val="00D21285"/>
    <w:rsid w:val="00D213B3"/>
    <w:rsid w:val="00D215D8"/>
    <w:rsid w:val="00D2173C"/>
    <w:rsid w:val="00D2175A"/>
    <w:rsid w:val="00D218A2"/>
    <w:rsid w:val="00D222FF"/>
    <w:rsid w:val="00D22322"/>
    <w:rsid w:val="00D23036"/>
    <w:rsid w:val="00D2326B"/>
    <w:rsid w:val="00D237D6"/>
    <w:rsid w:val="00D240FF"/>
    <w:rsid w:val="00D2423B"/>
    <w:rsid w:val="00D24289"/>
    <w:rsid w:val="00D24BF6"/>
    <w:rsid w:val="00D2531E"/>
    <w:rsid w:val="00D2581C"/>
    <w:rsid w:val="00D25CFA"/>
    <w:rsid w:val="00D2617C"/>
    <w:rsid w:val="00D262E0"/>
    <w:rsid w:val="00D26337"/>
    <w:rsid w:val="00D265DF"/>
    <w:rsid w:val="00D26A49"/>
    <w:rsid w:val="00D26E38"/>
    <w:rsid w:val="00D27040"/>
    <w:rsid w:val="00D27093"/>
    <w:rsid w:val="00D271EE"/>
    <w:rsid w:val="00D3032C"/>
    <w:rsid w:val="00D30430"/>
    <w:rsid w:val="00D31256"/>
    <w:rsid w:val="00D3125E"/>
    <w:rsid w:val="00D314F8"/>
    <w:rsid w:val="00D31701"/>
    <w:rsid w:val="00D31ADA"/>
    <w:rsid w:val="00D31B6D"/>
    <w:rsid w:val="00D31C2F"/>
    <w:rsid w:val="00D32065"/>
    <w:rsid w:val="00D32411"/>
    <w:rsid w:val="00D3268B"/>
    <w:rsid w:val="00D328AD"/>
    <w:rsid w:val="00D32953"/>
    <w:rsid w:val="00D32BCC"/>
    <w:rsid w:val="00D32E47"/>
    <w:rsid w:val="00D333A5"/>
    <w:rsid w:val="00D33BB9"/>
    <w:rsid w:val="00D33CB0"/>
    <w:rsid w:val="00D33E78"/>
    <w:rsid w:val="00D34208"/>
    <w:rsid w:val="00D347CB"/>
    <w:rsid w:val="00D354EE"/>
    <w:rsid w:val="00D3563E"/>
    <w:rsid w:val="00D3599D"/>
    <w:rsid w:val="00D35A33"/>
    <w:rsid w:val="00D35C42"/>
    <w:rsid w:val="00D35F0D"/>
    <w:rsid w:val="00D35F5C"/>
    <w:rsid w:val="00D36745"/>
    <w:rsid w:val="00D36B53"/>
    <w:rsid w:val="00D36D10"/>
    <w:rsid w:val="00D36FF2"/>
    <w:rsid w:val="00D3725E"/>
    <w:rsid w:val="00D3765E"/>
    <w:rsid w:val="00D37B38"/>
    <w:rsid w:val="00D37B8B"/>
    <w:rsid w:val="00D40101"/>
    <w:rsid w:val="00D4011B"/>
    <w:rsid w:val="00D4033D"/>
    <w:rsid w:val="00D40904"/>
    <w:rsid w:val="00D409B0"/>
    <w:rsid w:val="00D40C73"/>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1A9"/>
    <w:rsid w:val="00D45630"/>
    <w:rsid w:val="00D4563B"/>
    <w:rsid w:val="00D45654"/>
    <w:rsid w:val="00D45A8C"/>
    <w:rsid w:val="00D45D5B"/>
    <w:rsid w:val="00D45EAB"/>
    <w:rsid w:val="00D460C2"/>
    <w:rsid w:val="00D46112"/>
    <w:rsid w:val="00D4633E"/>
    <w:rsid w:val="00D4646D"/>
    <w:rsid w:val="00D46C70"/>
    <w:rsid w:val="00D46C9B"/>
    <w:rsid w:val="00D46EC9"/>
    <w:rsid w:val="00D47176"/>
    <w:rsid w:val="00D471DD"/>
    <w:rsid w:val="00D4762C"/>
    <w:rsid w:val="00D47789"/>
    <w:rsid w:val="00D478BC"/>
    <w:rsid w:val="00D47BF3"/>
    <w:rsid w:val="00D47F24"/>
    <w:rsid w:val="00D47FEF"/>
    <w:rsid w:val="00D47FF5"/>
    <w:rsid w:val="00D503D0"/>
    <w:rsid w:val="00D5057E"/>
    <w:rsid w:val="00D505F2"/>
    <w:rsid w:val="00D50862"/>
    <w:rsid w:val="00D508F1"/>
    <w:rsid w:val="00D50C8B"/>
    <w:rsid w:val="00D50F2B"/>
    <w:rsid w:val="00D51619"/>
    <w:rsid w:val="00D51BB8"/>
    <w:rsid w:val="00D51C0E"/>
    <w:rsid w:val="00D51DEC"/>
    <w:rsid w:val="00D52318"/>
    <w:rsid w:val="00D52346"/>
    <w:rsid w:val="00D526B0"/>
    <w:rsid w:val="00D52857"/>
    <w:rsid w:val="00D52BDE"/>
    <w:rsid w:val="00D52E0E"/>
    <w:rsid w:val="00D52F8C"/>
    <w:rsid w:val="00D53246"/>
    <w:rsid w:val="00D534CE"/>
    <w:rsid w:val="00D537CD"/>
    <w:rsid w:val="00D53EA0"/>
    <w:rsid w:val="00D53FA9"/>
    <w:rsid w:val="00D540D6"/>
    <w:rsid w:val="00D54140"/>
    <w:rsid w:val="00D5477E"/>
    <w:rsid w:val="00D54B2D"/>
    <w:rsid w:val="00D54BAA"/>
    <w:rsid w:val="00D54CFA"/>
    <w:rsid w:val="00D54D3A"/>
    <w:rsid w:val="00D54EBA"/>
    <w:rsid w:val="00D5541E"/>
    <w:rsid w:val="00D5559D"/>
    <w:rsid w:val="00D55705"/>
    <w:rsid w:val="00D55ECE"/>
    <w:rsid w:val="00D56094"/>
    <w:rsid w:val="00D5696B"/>
    <w:rsid w:val="00D56DE8"/>
    <w:rsid w:val="00D56E2C"/>
    <w:rsid w:val="00D57024"/>
    <w:rsid w:val="00D57069"/>
    <w:rsid w:val="00D5715A"/>
    <w:rsid w:val="00D57184"/>
    <w:rsid w:val="00D571D9"/>
    <w:rsid w:val="00D57566"/>
    <w:rsid w:val="00D57A7E"/>
    <w:rsid w:val="00D57EF5"/>
    <w:rsid w:val="00D6026D"/>
    <w:rsid w:val="00D60307"/>
    <w:rsid w:val="00D60335"/>
    <w:rsid w:val="00D60426"/>
    <w:rsid w:val="00D604AF"/>
    <w:rsid w:val="00D608E5"/>
    <w:rsid w:val="00D60968"/>
    <w:rsid w:val="00D611CA"/>
    <w:rsid w:val="00D613A6"/>
    <w:rsid w:val="00D614A0"/>
    <w:rsid w:val="00D6152D"/>
    <w:rsid w:val="00D618E4"/>
    <w:rsid w:val="00D6228D"/>
    <w:rsid w:val="00D622EC"/>
    <w:rsid w:val="00D6268B"/>
    <w:rsid w:val="00D6276F"/>
    <w:rsid w:val="00D62A20"/>
    <w:rsid w:val="00D62F9B"/>
    <w:rsid w:val="00D62FDC"/>
    <w:rsid w:val="00D63458"/>
    <w:rsid w:val="00D6359B"/>
    <w:rsid w:val="00D636FA"/>
    <w:rsid w:val="00D6371C"/>
    <w:rsid w:val="00D637CA"/>
    <w:rsid w:val="00D63866"/>
    <w:rsid w:val="00D63965"/>
    <w:rsid w:val="00D63FD5"/>
    <w:rsid w:val="00D64521"/>
    <w:rsid w:val="00D648CE"/>
    <w:rsid w:val="00D64A3F"/>
    <w:rsid w:val="00D64C57"/>
    <w:rsid w:val="00D6507C"/>
    <w:rsid w:val="00D65D36"/>
    <w:rsid w:val="00D66896"/>
    <w:rsid w:val="00D66902"/>
    <w:rsid w:val="00D66B50"/>
    <w:rsid w:val="00D66CB5"/>
    <w:rsid w:val="00D66D66"/>
    <w:rsid w:val="00D66E2A"/>
    <w:rsid w:val="00D66EE9"/>
    <w:rsid w:val="00D6708D"/>
    <w:rsid w:val="00D673F6"/>
    <w:rsid w:val="00D67769"/>
    <w:rsid w:val="00D67AB7"/>
    <w:rsid w:val="00D67AE8"/>
    <w:rsid w:val="00D67FE8"/>
    <w:rsid w:val="00D704BB"/>
    <w:rsid w:val="00D70518"/>
    <w:rsid w:val="00D708B0"/>
    <w:rsid w:val="00D70F8A"/>
    <w:rsid w:val="00D71304"/>
    <w:rsid w:val="00D7161A"/>
    <w:rsid w:val="00D716C2"/>
    <w:rsid w:val="00D71E8B"/>
    <w:rsid w:val="00D72333"/>
    <w:rsid w:val="00D7237E"/>
    <w:rsid w:val="00D72D5D"/>
    <w:rsid w:val="00D72DCD"/>
    <w:rsid w:val="00D739A4"/>
    <w:rsid w:val="00D73C7F"/>
    <w:rsid w:val="00D73F2A"/>
    <w:rsid w:val="00D74378"/>
    <w:rsid w:val="00D7452B"/>
    <w:rsid w:val="00D7459F"/>
    <w:rsid w:val="00D749F8"/>
    <w:rsid w:val="00D74AAB"/>
    <w:rsid w:val="00D74DF1"/>
    <w:rsid w:val="00D750C3"/>
    <w:rsid w:val="00D75170"/>
    <w:rsid w:val="00D757A6"/>
    <w:rsid w:val="00D757EF"/>
    <w:rsid w:val="00D7585B"/>
    <w:rsid w:val="00D75C4F"/>
    <w:rsid w:val="00D75CA7"/>
    <w:rsid w:val="00D76032"/>
    <w:rsid w:val="00D7644A"/>
    <w:rsid w:val="00D76461"/>
    <w:rsid w:val="00D766C2"/>
    <w:rsid w:val="00D76E87"/>
    <w:rsid w:val="00D77143"/>
    <w:rsid w:val="00D77208"/>
    <w:rsid w:val="00D77317"/>
    <w:rsid w:val="00D7745A"/>
    <w:rsid w:val="00D777EC"/>
    <w:rsid w:val="00D77D17"/>
    <w:rsid w:val="00D77D35"/>
    <w:rsid w:val="00D77DF9"/>
    <w:rsid w:val="00D77E1B"/>
    <w:rsid w:val="00D80232"/>
    <w:rsid w:val="00D807E6"/>
    <w:rsid w:val="00D80911"/>
    <w:rsid w:val="00D81197"/>
    <w:rsid w:val="00D811F9"/>
    <w:rsid w:val="00D814BF"/>
    <w:rsid w:val="00D81612"/>
    <w:rsid w:val="00D81D42"/>
    <w:rsid w:val="00D822C7"/>
    <w:rsid w:val="00D8266F"/>
    <w:rsid w:val="00D82792"/>
    <w:rsid w:val="00D829FC"/>
    <w:rsid w:val="00D82E31"/>
    <w:rsid w:val="00D82E49"/>
    <w:rsid w:val="00D82F4D"/>
    <w:rsid w:val="00D8310A"/>
    <w:rsid w:val="00D83411"/>
    <w:rsid w:val="00D8382E"/>
    <w:rsid w:val="00D83947"/>
    <w:rsid w:val="00D83A43"/>
    <w:rsid w:val="00D83F8D"/>
    <w:rsid w:val="00D84631"/>
    <w:rsid w:val="00D84828"/>
    <w:rsid w:val="00D851B2"/>
    <w:rsid w:val="00D85328"/>
    <w:rsid w:val="00D85863"/>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124"/>
    <w:rsid w:val="00D92290"/>
    <w:rsid w:val="00D92537"/>
    <w:rsid w:val="00D925B2"/>
    <w:rsid w:val="00D92784"/>
    <w:rsid w:val="00D929B4"/>
    <w:rsid w:val="00D93336"/>
    <w:rsid w:val="00D936AA"/>
    <w:rsid w:val="00D93E77"/>
    <w:rsid w:val="00D94090"/>
    <w:rsid w:val="00D94491"/>
    <w:rsid w:val="00D94925"/>
    <w:rsid w:val="00D94957"/>
    <w:rsid w:val="00D94BD8"/>
    <w:rsid w:val="00D94C5A"/>
    <w:rsid w:val="00D94EA5"/>
    <w:rsid w:val="00D9530F"/>
    <w:rsid w:val="00D9546A"/>
    <w:rsid w:val="00D954B5"/>
    <w:rsid w:val="00D956FD"/>
    <w:rsid w:val="00D95AC2"/>
    <w:rsid w:val="00D95AF4"/>
    <w:rsid w:val="00D95E16"/>
    <w:rsid w:val="00D960CF"/>
    <w:rsid w:val="00D96BDC"/>
    <w:rsid w:val="00D971C6"/>
    <w:rsid w:val="00D97602"/>
    <w:rsid w:val="00D977E4"/>
    <w:rsid w:val="00D97BE3"/>
    <w:rsid w:val="00D97CA9"/>
    <w:rsid w:val="00D97D15"/>
    <w:rsid w:val="00D97E49"/>
    <w:rsid w:val="00DA0533"/>
    <w:rsid w:val="00DA0648"/>
    <w:rsid w:val="00DA09EF"/>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B2A"/>
    <w:rsid w:val="00DA4D86"/>
    <w:rsid w:val="00DA4F11"/>
    <w:rsid w:val="00DA5092"/>
    <w:rsid w:val="00DA51F1"/>
    <w:rsid w:val="00DA520D"/>
    <w:rsid w:val="00DA56CF"/>
    <w:rsid w:val="00DA5B0E"/>
    <w:rsid w:val="00DA5D99"/>
    <w:rsid w:val="00DA5DD8"/>
    <w:rsid w:val="00DA6193"/>
    <w:rsid w:val="00DA61A0"/>
    <w:rsid w:val="00DA6AB8"/>
    <w:rsid w:val="00DA6C95"/>
    <w:rsid w:val="00DA71EF"/>
    <w:rsid w:val="00DA7330"/>
    <w:rsid w:val="00DA7C60"/>
    <w:rsid w:val="00DB00FB"/>
    <w:rsid w:val="00DB041B"/>
    <w:rsid w:val="00DB06B9"/>
    <w:rsid w:val="00DB06D4"/>
    <w:rsid w:val="00DB07C5"/>
    <w:rsid w:val="00DB0B43"/>
    <w:rsid w:val="00DB0F6F"/>
    <w:rsid w:val="00DB10C9"/>
    <w:rsid w:val="00DB1686"/>
    <w:rsid w:val="00DB17C2"/>
    <w:rsid w:val="00DB1A52"/>
    <w:rsid w:val="00DB1ACA"/>
    <w:rsid w:val="00DB1C27"/>
    <w:rsid w:val="00DB214C"/>
    <w:rsid w:val="00DB2448"/>
    <w:rsid w:val="00DB2DFF"/>
    <w:rsid w:val="00DB3887"/>
    <w:rsid w:val="00DB3D31"/>
    <w:rsid w:val="00DB3EE5"/>
    <w:rsid w:val="00DB403E"/>
    <w:rsid w:val="00DB434B"/>
    <w:rsid w:val="00DB4488"/>
    <w:rsid w:val="00DB4824"/>
    <w:rsid w:val="00DB485B"/>
    <w:rsid w:val="00DB48CA"/>
    <w:rsid w:val="00DB49B2"/>
    <w:rsid w:val="00DB4CC9"/>
    <w:rsid w:val="00DB553A"/>
    <w:rsid w:val="00DB5961"/>
    <w:rsid w:val="00DB642F"/>
    <w:rsid w:val="00DB72BB"/>
    <w:rsid w:val="00DB7324"/>
    <w:rsid w:val="00DB745D"/>
    <w:rsid w:val="00DB77CB"/>
    <w:rsid w:val="00DB7B39"/>
    <w:rsid w:val="00DB7B68"/>
    <w:rsid w:val="00DB7C7D"/>
    <w:rsid w:val="00DC04C8"/>
    <w:rsid w:val="00DC0732"/>
    <w:rsid w:val="00DC07C0"/>
    <w:rsid w:val="00DC0861"/>
    <w:rsid w:val="00DC1887"/>
    <w:rsid w:val="00DC18A7"/>
    <w:rsid w:val="00DC1B7C"/>
    <w:rsid w:val="00DC1DC3"/>
    <w:rsid w:val="00DC244C"/>
    <w:rsid w:val="00DC25BF"/>
    <w:rsid w:val="00DC27A0"/>
    <w:rsid w:val="00DC2DB4"/>
    <w:rsid w:val="00DC2EA0"/>
    <w:rsid w:val="00DC3110"/>
    <w:rsid w:val="00DC32AD"/>
    <w:rsid w:val="00DC338D"/>
    <w:rsid w:val="00DC33A0"/>
    <w:rsid w:val="00DC3A37"/>
    <w:rsid w:val="00DC3D36"/>
    <w:rsid w:val="00DC3FF7"/>
    <w:rsid w:val="00DC41B6"/>
    <w:rsid w:val="00DC42C9"/>
    <w:rsid w:val="00DC44FD"/>
    <w:rsid w:val="00DC4EB2"/>
    <w:rsid w:val="00DC5A73"/>
    <w:rsid w:val="00DC5C7A"/>
    <w:rsid w:val="00DC5D95"/>
    <w:rsid w:val="00DC60C0"/>
    <w:rsid w:val="00DC63EA"/>
    <w:rsid w:val="00DC66A2"/>
    <w:rsid w:val="00DC673D"/>
    <w:rsid w:val="00DC68A0"/>
    <w:rsid w:val="00DC6A4E"/>
    <w:rsid w:val="00DC6BB2"/>
    <w:rsid w:val="00DC714E"/>
    <w:rsid w:val="00DC75EF"/>
    <w:rsid w:val="00DC7776"/>
    <w:rsid w:val="00DC77BA"/>
    <w:rsid w:val="00DC77E0"/>
    <w:rsid w:val="00DC788A"/>
    <w:rsid w:val="00DC7A5E"/>
    <w:rsid w:val="00DD022C"/>
    <w:rsid w:val="00DD0305"/>
    <w:rsid w:val="00DD04FC"/>
    <w:rsid w:val="00DD06AB"/>
    <w:rsid w:val="00DD1104"/>
    <w:rsid w:val="00DD181B"/>
    <w:rsid w:val="00DD1931"/>
    <w:rsid w:val="00DD1C8B"/>
    <w:rsid w:val="00DD218C"/>
    <w:rsid w:val="00DD21DD"/>
    <w:rsid w:val="00DD22D8"/>
    <w:rsid w:val="00DD248D"/>
    <w:rsid w:val="00DD299C"/>
    <w:rsid w:val="00DD343C"/>
    <w:rsid w:val="00DD370A"/>
    <w:rsid w:val="00DD38AC"/>
    <w:rsid w:val="00DD3D36"/>
    <w:rsid w:val="00DD3E56"/>
    <w:rsid w:val="00DD44F5"/>
    <w:rsid w:val="00DD47FF"/>
    <w:rsid w:val="00DD4971"/>
    <w:rsid w:val="00DD49B6"/>
    <w:rsid w:val="00DD49E3"/>
    <w:rsid w:val="00DD53C3"/>
    <w:rsid w:val="00DD575B"/>
    <w:rsid w:val="00DD5CB3"/>
    <w:rsid w:val="00DD5EB9"/>
    <w:rsid w:val="00DD5F08"/>
    <w:rsid w:val="00DD6BAE"/>
    <w:rsid w:val="00DD6C09"/>
    <w:rsid w:val="00DD75A2"/>
    <w:rsid w:val="00DD7998"/>
    <w:rsid w:val="00DD7ABC"/>
    <w:rsid w:val="00DD7C66"/>
    <w:rsid w:val="00DD7CF0"/>
    <w:rsid w:val="00DD7E35"/>
    <w:rsid w:val="00DD7E54"/>
    <w:rsid w:val="00DD7E90"/>
    <w:rsid w:val="00DE0138"/>
    <w:rsid w:val="00DE01D3"/>
    <w:rsid w:val="00DE04AA"/>
    <w:rsid w:val="00DE0ADB"/>
    <w:rsid w:val="00DE0F3A"/>
    <w:rsid w:val="00DE11B1"/>
    <w:rsid w:val="00DE12D6"/>
    <w:rsid w:val="00DE1601"/>
    <w:rsid w:val="00DE1746"/>
    <w:rsid w:val="00DE1996"/>
    <w:rsid w:val="00DE1B44"/>
    <w:rsid w:val="00DE1E94"/>
    <w:rsid w:val="00DE1F0E"/>
    <w:rsid w:val="00DE212C"/>
    <w:rsid w:val="00DE2242"/>
    <w:rsid w:val="00DE22D6"/>
    <w:rsid w:val="00DE2518"/>
    <w:rsid w:val="00DE2620"/>
    <w:rsid w:val="00DE285A"/>
    <w:rsid w:val="00DE28D4"/>
    <w:rsid w:val="00DE2B6B"/>
    <w:rsid w:val="00DE2C1D"/>
    <w:rsid w:val="00DE2C39"/>
    <w:rsid w:val="00DE2DFC"/>
    <w:rsid w:val="00DE2DFF"/>
    <w:rsid w:val="00DE320D"/>
    <w:rsid w:val="00DE340C"/>
    <w:rsid w:val="00DE37DB"/>
    <w:rsid w:val="00DE3DD8"/>
    <w:rsid w:val="00DE3ECF"/>
    <w:rsid w:val="00DE41F8"/>
    <w:rsid w:val="00DE4B9D"/>
    <w:rsid w:val="00DE4E10"/>
    <w:rsid w:val="00DE4E64"/>
    <w:rsid w:val="00DE4FB9"/>
    <w:rsid w:val="00DE51E8"/>
    <w:rsid w:val="00DE531F"/>
    <w:rsid w:val="00DE5630"/>
    <w:rsid w:val="00DE5748"/>
    <w:rsid w:val="00DE590F"/>
    <w:rsid w:val="00DE597F"/>
    <w:rsid w:val="00DE6274"/>
    <w:rsid w:val="00DE633A"/>
    <w:rsid w:val="00DE65B1"/>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3E25"/>
    <w:rsid w:val="00DF4237"/>
    <w:rsid w:val="00DF43FE"/>
    <w:rsid w:val="00DF4E15"/>
    <w:rsid w:val="00DF53DB"/>
    <w:rsid w:val="00DF58EA"/>
    <w:rsid w:val="00DF5D8C"/>
    <w:rsid w:val="00DF5F8A"/>
    <w:rsid w:val="00DF63BB"/>
    <w:rsid w:val="00DF681F"/>
    <w:rsid w:val="00DF689B"/>
    <w:rsid w:val="00DF6A70"/>
    <w:rsid w:val="00DF6D09"/>
    <w:rsid w:val="00DF6E5A"/>
    <w:rsid w:val="00DF7330"/>
    <w:rsid w:val="00DF7588"/>
    <w:rsid w:val="00DF76C5"/>
    <w:rsid w:val="00E0017E"/>
    <w:rsid w:val="00E005B9"/>
    <w:rsid w:val="00E008CE"/>
    <w:rsid w:val="00E00AAB"/>
    <w:rsid w:val="00E00B13"/>
    <w:rsid w:val="00E00CB3"/>
    <w:rsid w:val="00E017D0"/>
    <w:rsid w:val="00E01F1E"/>
    <w:rsid w:val="00E01F3F"/>
    <w:rsid w:val="00E02369"/>
    <w:rsid w:val="00E0255E"/>
    <w:rsid w:val="00E02BCB"/>
    <w:rsid w:val="00E02C5F"/>
    <w:rsid w:val="00E02D25"/>
    <w:rsid w:val="00E0332D"/>
    <w:rsid w:val="00E034A4"/>
    <w:rsid w:val="00E03A6B"/>
    <w:rsid w:val="00E03D43"/>
    <w:rsid w:val="00E03E00"/>
    <w:rsid w:val="00E04021"/>
    <w:rsid w:val="00E04567"/>
    <w:rsid w:val="00E046B8"/>
    <w:rsid w:val="00E04FC4"/>
    <w:rsid w:val="00E0515A"/>
    <w:rsid w:val="00E0590B"/>
    <w:rsid w:val="00E05954"/>
    <w:rsid w:val="00E0600E"/>
    <w:rsid w:val="00E0613E"/>
    <w:rsid w:val="00E06316"/>
    <w:rsid w:val="00E06474"/>
    <w:rsid w:val="00E06705"/>
    <w:rsid w:val="00E0679A"/>
    <w:rsid w:val="00E06ACF"/>
    <w:rsid w:val="00E06ED5"/>
    <w:rsid w:val="00E07437"/>
    <w:rsid w:val="00E07992"/>
    <w:rsid w:val="00E07A8E"/>
    <w:rsid w:val="00E07AF8"/>
    <w:rsid w:val="00E07BDB"/>
    <w:rsid w:val="00E07DDC"/>
    <w:rsid w:val="00E07F8A"/>
    <w:rsid w:val="00E104CE"/>
    <w:rsid w:val="00E10513"/>
    <w:rsid w:val="00E1051F"/>
    <w:rsid w:val="00E1063D"/>
    <w:rsid w:val="00E10788"/>
    <w:rsid w:val="00E1097C"/>
    <w:rsid w:val="00E10BDF"/>
    <w:rsid w:val="00E10C2C"/>
    <w:rsid w:val="00E10CBB"/>
    <w:rsid w:val="00E110ED"/>
    <w:rsid w:val="00E1154E"/>
    <w:rsid w:val="00E11BE2"/>
    <w:rsid w:val="00E11EFE"/>
    <w:rsid w:val="00E125D4"/>
    <w:rsid w:val="00E1290C"/>
    <w:rsid w:val="00E12AE8"/>
    <w:rsid w:val="00E12B7B"/>
    <w:rsid w:val="00E12E17"/>
    <w:rsid w:val="00E13173"/>
    <w:rsid w:val="00E1483F"/>
    <w:rsid w:val="00E14A58"/>
    <w:rsid w:val="00E14C9B"/>
    <w:rsid w:val="00E150F8"/>
    <w:rsid w:val="00E1511D"/>
    <w:rsid w:val="00E15C48"/>
    <w:rsid w:val="00E15F4D"/>
    <w:rsid w:val="00E16080"/>
    <w:rsid w:val="00E1646D"/>
    <w:rsid w:val="00E1664C"/>
    <w:rsid w:val="00E16AE9"/>
    <w:rsid w:val="00E16DDA"/>
    <w:rsid w:val="00E17095"/>
    <w:rsid w:val="00E17520"/>
    <w:rsid w:val="00E20623"/>
    <w:rsid w:val="00E2069A"/>
    <w:rsid w:val="00E2074F"/>
    <w:rsid w:val="00E208D9"/>
    <w:rsid w:val="00E2092F"/>
    <w:rsid w:val="00E20FAA"/>
    <w:rsid w:val="00E2105E"/>
    <w:rsid w:val="00E210F0"/>
    <w:rsid w:val="00E21298"/>
    <w:rsid w:val="00E21433"/>
    <w:rsid w:val="00E214A6"/>
    <w:rsid w:val="00E21DC2"/>
    <w:rsid w:val="00E21E2E"/>
    <w:rsid w:val="00E21F16"/>
    <w:rsid w:val="00E22297"/>
    <w:rsid w:val="00E2265A"/>
    <w:rsid w:val="00E226BA"/>
    <w:rsid w:val="00E22E5F"/>
    <w:rsid w:val="00E22F88"/>
    <w:rsid w:val="00E23327"/>
    <w:rsid w:val="00E2379E"/>
    <w:rsid w:val="00E23A15"/>
    <w:rsid w:val="00E23A20"/>
    <w:rsid w:val="00E24736"/>
    <w:rsid w:val="00E24A70"/>
    <w:rsid w:val="00E24BFC"/>
    <w:rsid w:val="00E24C0E"/>
    <w:rsid w:val="00E24E04"/>
    <w:rsid w:val="00E2502E"/>
    <w:rsid w:val="00E2505A"/>
    <w:rsid w:val="00E252B3"/>
    <w:rsid w:val="00E256C1"/>
    <w:rsid w:val="00E25F66"/>
    <w:rsid w:val="00E261FD"/>
    <w:rsid w:val="00E263F5"/>
    <w:rsid w:val="00E267D3"/>
    <w:rsid w:val="00E26958"/>
    <w:rsid w:val="00E26D58"/>
    <w:rsid w:val="00E26F48"/>
    <w:rsid w:val="00E27215"/>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19F"/>
    <w:rsid w:val="00E315A1"/>
    <w:rsid w:val="00E3175A"/>
    <w:rsid w:val="00E31B0E"/>
    <w:rsid w:val="00E31C82"/>
    <w:rsid w:val="00E31D6B"/>
    <w:rsid w:val="00E3211B"/>
    <w:rsid w:val="00E3276B"/>
    <w:rsid w:val="00E32EAB"/>
    <w:rsid w:val="00E32F57"/>
    <w:rsid w:val="00E33207"/>
    <w:rsid w:val="00E33355"/>
    <w:rsid w:val="00E3345A"/>
    <w:rsid w:val="00E33770"/>
    <w:rsid w:val="00E33A48"/>
    <w:rsid w:val="00E33CE2"/>
    <w:rsid w:val="00E33F66"/>
    <w:rsid w:val="00E34269"/>
    <w:rsid w:val="00E345F8"/>
    <w:rsid w:val="00E34D77"/>
    <w:rsid w:val="00E34D91"/>
    <w:rsid w:val="00E35048"/>
    <w:rsid w:val="00E35409"/>
    <w:rsid w:val="00E3545D"/>
    <w:rsid w:val="00E3546A"/>
    <w:rsid w:val="00E35CCE"/>
    <w:rsid w:val="00E35EF7"/>
    <w:rsid w:val="00E3609C"/>
    <w:rsid w:val="00E36109"/>
    <w:rsid w:val="00E3615E"/>
    <w:rsid w:val="00E36AB7"/>
    <w:rsid w:val="00E36F3A"/>
    <w:rsid w:val="00E37022"/>
    <w:rsid w:val="00E371AF"/>
    <w:rsid w:val="00E37810"/>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5AC"/>
    <w:rsid w:val="00E44A46"/>
    <w:rsid w:val="00E44A57"/>
    <w:rsid w:val="00E44BE8"/>
    <w:rsid w:val="00E44FF2"/>
    <w:rsid w:val="00E45035"/>
    <w:rsid w:val="00E45905"/>
    <w:rsid w:val="00E45BF4"/>
    <w:rsid w:val="00E45CF1"/>
    <w:rsid w:val="00E46A41"/>
    <w:rsid w:val="00E46F69"/>
    <w:rsid w:val="00E47334"/>
    <w:rsid w:val="00E4746F"/>
    <w:rsid w:val="00E474EA"/>
    <w:rsid w:val="00E47500"/>
    <w:rsid w:val="00E4787F"/>
    <w:rsid w:val="00E47D57"/>
    <w:rsid w:val="00E50190"/>
    <w:rsid w:val="00E506EE"/>
    <w:rsid w:val="00E5079E"/>
    <w:rsid w:val="00E508D6"/>
    <w:rsid w:val="00E51046"/>
    <w:rsid w:val="00E5116C"/>
    <w:rsid w:val="00E5150F"/>
    <w:rsid w:val="00E519AB"/>
    <w:rsid w:val="00E519F9"/>
    <w:rsid w:val="00E51C25"/>
    <w:rsid w:val="00E51C6E"/>
    <w:rsid w:val="00E51E2E"/>
    <w:rsid w:val="00E51FBB"/>
    <w:rsid w:val="00E5243D"/>
    <w:rsid w:val="00E52B02"/>
    <w:rsid w:val="00E52BFB"/>
    <w:rsid w:val="00E52EA9"/>
    <w:rsid w:val="00E52F53"/>
    <w:rsid w:val="00E530CA"/>
    <w:rsid w:val="00E535F9"/>
    <w:rsid w:val="00E539A8"/>
    <w:rsid w:val="00E53AE0"/>
    <w:rsid w:val="00E53B30"/>
    <w:rsid w:val="00E53E67"/>
    <w:rsid w:val="00E53FCC"/>
    <w:rsid w:val="00E540E5"/>
    <w:rsid w:val="00E5413F"/>
    <w:rsid w:val="00E54311"/>
    <w:rsid w:val="00E545B5"/>
    <w:rsid w:val="00E54D07"/>
    <w:rsid w:val="00E54DB7"/>
    <w:rsid w:val="00E54E3F"/>
    <w:rsid w:val="00E54FD0"/>
    <w:rsid w:val="00E5519A"/>
    <w:rsid w:val="00E5523F"/>
    <w:rsid w:val="00E5524F"/>
    <w:rsid w:val="00E5566C"/>
    <w:rsid w:val="00E556BD"/>
    <w:rsid w:val="00E5596A"/>
    <w:rsid w:val="00E55B77"/>
    <w:rsid w:val="00E55BDB"/>
    <w:rsid w:val="00E566C6"/>
    <w:rsid w:val="00E56C1A"/>
    <w:rsid w:val="00E56D89"/>
    <w:rsid w:val="00E570E5"/>
    <w:rsid w:val="00E576F6"/>
    <w:rsid w:val="00E5798E"/>
    <w:rsid w:val="00E579B3"/>
    <w:rsid w:val="00E57A0C"/>
    <w:rsid w:val="00E57A9E"/>
    <w:rsid w:val="00E57B3A"/>
    <w:rsid w:val="00E6056C"/>
    <w:rsid w:val="00E60827"/>
    <w:rsid w:val="00E60B65"/>
    <w:rsid w:val="00E60BE0"/>
    <w:rsid w:val="00E60BE7"/>
    <w:rsid w:val="00E61088"/>
    <w:rsid w:val="00E613D5"/>
    <w:rsid w:val="00E6194E"/>
    <w:rsid w:val="00E61AC4"/>
    <w:rsid w:val="00E625BA"/>
    <w:rsid w:val="00E62B41"/>
    <w:rsid w:val="00E62C1D"/>
    <w:rsid w:val="00E62EFC"/>
    <w:rsid w:val="00E63BCB"/>
    <w:rsid w:val="00E63D6E"/>
    <w:rsid w:val="00E63ED0"/>
    <w:rsid w:val="00E645AA"/>
    <w:rsid w:val="00E64EAE"/>
    <w:rsid w:val="00E65598"/>
    <w:rsid w:val="00E65A58"/>
    <w:rsid w:val="00E65B01"/>
    <w:rsid w:val="00E660E4"/>
    <w:rsid w:val="00E66248"/>
    <w:rsid w:val="00E662B7"/>
    <w:rsid w:val="00E66361"/>
    <w:rsid w:val="00E66699"/>
    <w:rsid w:val="00E66B84"/>
    <w:rsid w:val="00E66F3F"/>
    <w:rsid w:val="00E66FC3"/>
    <w:rsid w:val="00E673B9"/>
    <w:rsid w:val="00E673D4"/>
    <w:rsid w:val="00E67E7E"/>
    <w:rsid w:val="00E67FB9"/>
    <w:rsid w:val="00E67FC3"/>
    <w:rsid w:val="00E7000D"/>
    <w:rsid w:val="00E7055C"/>
    <w:rsid w:val="00E70583"/>
    <w:rsid w:val="00E70A1B"/>
    <w:rsid w:val="00E710C3"/>
    <w:rsid w:val="00E712EB"/>
    <w:rsid w:val="00E71411"/>
    <w:rsid w:val="00E71BCB"/>
    <w:rsid w:val="00E71CBD"/>
    <w:rsid w:val="00E71DCE"/>
    <w:rsid w:val="00E71E76"/>
    <w:rsid w:val="00E72030"/>
    <w:rsid w:val="00E72261"/>
    <w:rsid w:val="00E722A4"/>
    <w:rsid w:val="00E726F4"/>
    <w:rsid w:val="00E72E8A"/>
    <w:rsid w:val="00E730B2"/>
    <w:rsid w:val="00E742CE"/>
    <w:rsid w:val="00E745DA"/>
    <w:rsid w:val="00E74689"/>
    <w:rsid w:val="00E7472E"/>
    <w:rsid w:val="00E748AB"/>
    <w:rsid w:val="00E74F7A"/>
    <w:rsid w:val="00E75038"/>
    <w:rsid w:val="00E7509C"/>
    <w:rsid w:val="00E751CB"/>
    <w:rsid w:val="00E753B4"/>
    <w:rsid w:val="00E7585D"/>
    <w:rsid w:val="00E75A88"/>
    <w:rsid w:val="00E75CCC"/>
    <w:rsid w:val="00E75DE1"/>
    <w:rsid w:val="00E76335"/>
    <w:rsid w:val="00E76412"/>
    <w:rsid w:val="00E76413"/>
    <w:rsid w:val="00E76EB5"/>
    <w:rsid w:val="00E76F20"/>
    <w:rsid w:val="00E77E63"/>
    <w:rsid w:val="00E80068"/>
    <w:rsid w:val="00E803E2"/>
    <w:rsid w:val="00E80442"/>
    <w:rsid w:val="00E80BB8"/>
    <w:rsid w:val="00E80FAF"/>
    <w:rsid w:val="00E8105D"/>
    <w:rsid w:val="00E813A5"/>
    <w:rsid w:val="00E81C86"/>
    <w:rsid w:val="00E8217B"/>
    <w:rsid w:val="00E826F4"/>
    <w:rsid w:val="00E82EDE"/>
    <w:rsid w:val="00E831CE"/>
    <w:rsid w:val="00E83706"/>
    <w:rsid w:val="00E8392F"/>
    <w:rsid w:val="00E83A21"/>
    <w:rsid w:val="00E83AD7"/>
    <w:rsid w:val="00E83B7F"/>
    <w:rsid w:val="00E83C14"/>
    <w:rsid w:val="00E83D27"/>
    <w:rsid w:val="00E841C1"/>
    <w:rsid w:val="00E84314"/>
    <w:rsid w:val="00E8458F"/>
    <w:rsid w:val="00E848F1"/>
    <w:rsid w:val="00E85116"/>
    <w:rsid w:val="00E85363"/>
    <w:rsid w:val="00E85C9C"/>
    <w:rsid w:val="00E85C9D"/>
    <w:rsid w:val="00E85CB0"/>
    <w:rsid w:val="00E85CD1"/>
    <w:rsid w:val="00E85F59"/>
    <w:rsid w:val="00E85FB7"/>
    <w:rsid w:val="00E863E1"/>
    <w:rsid w:val="00E864FE"/>
    <w:rsid w:val="00E868BA"/>
    <w:rsid w:val="00E86DED"/>
    <w:rsid w:val="00E876CD"/>
    <w:rsid w:val="00E87CD0"/>
    <w:rsid w:val="00E87DC4"/>
    <w:rsid w:val="00E904E6"/>
    <w:rsid w:val="00E91191"/>
    <w:rsid w:val="00E9122C"/>
    <w:rsid w:val="00E912D3"/>
    <w:rsid w:val="00E91B6D"/>
    <w:rsid w:val="00E91BE7"/>
    <w:rsid w:val="00E9206A"/>
    <w:rsid w:val="00E92388"/>
    <w:rsid w:val="00E92562"/>
    <w:rsid w:val="00E92585"/>
    <w:rsid w:val="00E927D8"/>
    <w:rsid w:val="00E9281C"/>
    <w:rsid w:val="00E9295B"/>
    <w:rsid w:val="00E929E3"/>
    <w:rsid w:val="00E92D66"/>
    <w:rsid w:val="00E93096"/>
    <w:rsid w:val="00E933EA"/>
    <w:rsid w:val="00E935EE"/>
    <w:rsid w:val="00E93F8C"/>
    <w:rsid w:val="00E940A8"/>
    <w:rsid w:val="00E94866"/>
    <w:rsid w:val="00E94985"/>
    <w:rsid w:val="00E949CD"/>
    <w:rsid w:val="00E9502D"/>
    <w:rsid w:val="00E9509E"/>
    <w:rsid w:val="00E9525D"/>
    <w:rsid w:val="00E95299"/>
    <w:rsid w:val="00E952DC"/>
    <w:rsid w:val="00E95328"/>
    <w:rsid w:val="00E953CC"/>
    <w:rsid w:val="00E95511"/>
    <w:rsid w:val="00E957A0"/>
    <w:rsid w:val="00E957D5"/>
    <w:rsid w:val="00E959CA"/>
    <w:rsid w:val="00E95D70"/>
    <w:rsid w:val="00E95F0C"/>
    <w:rsid w:val="00E960C2"/>
    <w:rsid w:val="00E966D6"/>
    <w:rsid w:val="00E966FA"/>
    <w:rsid w:val="00E968D3"/>
    <w:rsid w:val="00E96DF7"/>
    <w:rsid w:val="00E97106"/>
    <w:rsid w:val="00E9711A"/>
    <w:rsid w:val="00E9757D"/>
    <w:rsid w:val="00E9791B"/>
    <w:rsid w:val="00E97A31"/>
    <w:rsid w:val="00E97C02"/>
    <w:rsid w:val="00EA013B"/>
    <w:rsid w:val="00EA0172"/>
    <w:rsid w:val="00EA0336"/>
    <w:rsid w:val="00EA0349"/>
    <w:rsid w:val="00EA0397"/>
    <w:rsid w:val="00EA0468"/>
    <w:rsid w:val="00EA1084"/>
    <w:rsid w:val="00EA14F3"/>
    <w:rsid w:val="00EA1668"/>
    <w:rsid w:val="00EA1A55"/>
    <w:rsid w:val="00EA1B92"/>
    <w:rsid w:val="00EA24B1"/>
    <w:rsid w:val="00EA29C7"/>
    <w:rsid w:val="00EA3CC9"/>
    <w:rsid w:val="00EA3F06"/>
    <w:rsid w:val="00EA42CF"/>
    <w:rsid w:val="00EA4646"/>
    <w:rsid w:val="00EA47D1"/>
    <w:rsid w:val="00EA47ED"/>
    <w:rsid w:val="00EA4ABA"/>
    <w:rsid w:val="00EA4B3F"/>
    <w:rsid w:val="00EA4BA2"/>
    <w:rsid w:val="00EA505F"/>
    <w:rsid w:val="00EA541E"/>
    <w:rsid w:val="00EA56A6"/>
    <w:rsid w:val="00EA5828"/>
    <w:rsid w:val="00EA5943"/>
    <w:rsid w:val="00EA5A2D"/>
    <w:rsid w:val="00EA5CBB"/>
    <w:rsid w:val="00EA5D9D"/>
    <w:rsid w:val="00EA64C0"/>
    <w:rsid w:val="00EA6ADE"/>
    <w:rsid w:val="00EA6B2B"/>
    <w:rsid w:val="00EA6CF6"/>
    <w:rsid w:val="00EA6F4E"/>
    <w:rsid w:val="00EA70A3"/>
    <w:rsid w:val="00EA76AC"/>
    <w:rsid w:val="00EA779F"/>
    <w:rsid w:val="00EA7FB2"/>
    <w:rsid w:val="00EB03F2"/>
    <w:rsid w:val="00EB04E2"/>
    <w:rsid w:val="00EB08C1"/>
    <w:rsid w:val="00EB0D27"/>
    <w:rsid w:val="00EB0FD4"/>
    <w:rsid w:val="00EB15E3"/>
    <w:rsid w:val="00EB1895"/>
    <w:rsid w:val="00EB18A2"/>
    <w:rsid w:val="00EB1979"/>
    <w:rsid w:val="00EB1DCF"/>
    <w:rsid w:val="00EB20C5"/>
    <w:rsid w:val="00EB23EE"/>
    <w:rsid w:val="00EB2638"/>
    <w:rsid w:val="00EB2C1F"/>
    <w:rsid w:val="00EB3028"/>
    <w:rsid w:val="00EB32D9"/>
    <w:rsid w:val="00EB3314"/>
    <w:rsid w:val="00EB4104"/>
    <w:rsid w:val="00EB49B6"/>
    <w:rsid w:val="00EB4C4C"/>
    <w:rsid w:val="00EB5660"/>
    <w:rsid w:val="00EB58BD"/>
    <w:rsid w:val="00EB61CA"/>
    <w:rsid w:val="00EB61D2"/>
    <w:rsid w:val="00EB646D"/>
    <w:rsid w:val="00EB67B1"/>
    <w:rsid w:val="00EB68D2"/>
    <w:rsid w:val="00EB6B47"/>
    <w:rsid w:val="00EB6FC1"/>
    <w:rsid w:val="00EB72F4"/>
    <w:rsid w:val="00EB778A"/>
    <w:rsid w:val="00EB7961"/>
    <w:rsid w:val="00EB7B47"/>
    <w:rsid w:val="00EB7BCA"/>
    <w:rsid w:val="00EC02AF"/>
    <w:rsid w:val="00EC0376"/>
    <w:rsid w:val="00EC074B"/>
    <w:rsid w:val="00EC080C"/>
    <w:rsid w:val="00EC0C9B"/>
    <w:rsid w:val="00EC0F07"/>
    <w:rsid w:val="00EC0F4D"/>
    <w:rsid w:val="00EC0F59"/>
    <w:rsid w:val="00EC11C4"/>
    <w:rsid w:val="00EC1617"/>
    <w:rsid w:val="00EC175F"/>
    <w:rsid w:val="00EC176F"/>
    <w:rsid w:val="00EC196D"/>
    <w:rsid w:val="00EC1AF8"/>
    <w:rsid w:val="00EC1FEE"/>
    <w:rsid w:val="00EC200C"/>
    <w:rsid w:val="00EC2226"/>
    <w:rsid w:val="00EC2487"/>
    <w:rsid w:val="00EC2501"/>
    <w:rsid w:val="00EC250D"/>
    <w:rsid w:val="00EC2751"/>
    <w:rsid w:val="00EC27BA"/>
    <w:rsid w:val="00EC2D06"/>
    <w:rsid w:val="00EC314A"/>
    <w:rsid w:val="00EC3453"/>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8FF"/>
    <w:rsid w:val="00EC6A86"/>
    <w:rsid w:val="00EC6C98"/>
    <w:rsid w:val="00EC6E4D"/>
    <w:rsid w:val="00EC6F06"/>
    <w:rsid w:val="00EC70D0"/>
    <w:rsid w:val="00EC72FC"/>
    <w:rsid w:val="00EC7CAD"/>
    <w:rsid w:val="00EC7CBB"/>
    <w:rsid w:val="00EC7DE5"/>
    <w:rsid w:val="00EC7FB9"/>
    <w:rsid w:val="00ED0425"/>
    <w:rsid w:val="00ED0645"/>
    <w:rsid w:val="00ED097D"/>
    <w:rsid w:val="00ED1064"/>
    <w:rsid w:val="00ED26F2"/>
    <w:rsid w:val="00ED2A90"/>
    <w:rsid w:val="00ED2E94"/>
    <w:rsid w:val="00ED34A0"/>
    <w:rsid w:val="00ED3535"/>
    <w:rsid w:val="00ED35BA"/>
    <w:rsid w:val="00ED35DE"/>
    <w:rsid w:val="00ED3A3A"/>
    <w:rsid w:val="00ED3AAC"/>
    <w:rsid w:val="00ED3E59"/>
    <w:rsid w:val="00ED4347"/>
    <w:rsid w:val="00ED4478"/>
    <w:rsid w:val="00ED476B"/>
    <w:rsid w:val="00ED4B27"/>
    <w:rsid w:val="00ED4C58"/>
    <w:rsid w:val="00ED4DF4"/>
    <w:rsid w:val="00ED50B9"/>
    <w:rsid w:val="00ED5131"/>
    <w:rsid w:val="00ED58CD"/>
    <w:rsid w:val="00ED5A5A"/>
    <w:rsid w:val="00ED5AAA"/>
    <w:rsid w:val="00ED5C7E"/>
    <w:rsid w:val="00ED5DAD"/>
    <w:rsid w:val="00ED5EBC"/>
    <w:rsid w:val="00ED604C"/>
    <w:rsid w:val="00ED6474"/>
    <w:rsid w:val="00ED671B"/>
    <w:rsid w:val="00ED6C9F"/>
    <w:rsid w:val="00ED74CF"/>
    <w:rsid w:val="00ED7916"/>
    <w:rsid w:val="00EE05E6"/>
    <w:rsid w:val="00EE084B"/>
    <w:rsid w:val="00EE0BF9"/>
    <w:rsid w:val="00EE126A"/>
    <w:rsid w:val="00EE170C"/>
    <w:rsid w:val="00EE176C"/>
    <w:rsid w:val="00EE17D6"/>
    <w:rsid w:val="00EE19CA"/>
    <w:rsid w:val="00EE19DD"/>
    <w:rsid w:val="00EE1E33"/>
    <w:rsid w:val="00EE1FBA"/>
    <w:rsid w:val="00EE21ED"/>
    <w:rsid w:val="00EE2859"/>
    <w:rsid w:val="00EE2D38"/>
    <w:rsid w:val="00EE3146"/>
    <w:rsid w:val="00EE3B83"/>
    <w:rsid w:val="00EE3D57"/>
    <w:rsid w:val="00EE3EA7"/>
    <w:rsid w:val="00EE457C"/>
    <w:rsid w:val="00EE4592"/>
    <w:rsid w:val="00EE4F48"/>
    <w:rsid w:val="00EE4F84"/>
    <w:rsid w:val="00EE4FBE"/>
    <w:rsid w:val="00EE4FCE"/>
    <w:rsid w:val="00EE5013"/>
    <w:rsid w:val="00EE52E6"/>
    <w:rsid w:val="00EE532D"/>
    <w:rsid w:val="00EE59E7"/>
    <w:rsid w:val="00EE5A44"/>
    <w:rsid w:val="00EE5F73"/>
    <w:rsid w:val="00EE6098"/>
    <w:rsid w:val="00EE64BB"/>
    <w:rsid w:val="00EE6657"/>
    <w:rsid w:val="00EE6831"/>
    <w:rsid w:val="00EE6892"/>
    <w:rsid w:val="00EE6944"/>
    <w:rsid w:val="00EE6C9B"/>
    <w:rsid w:val="00EE6DE6"/>
    <w:rsid w:val="00EE701A"/>
    <w:rsid w:val="00EE746D"/>
    <w:rsid w:val="00EE781A"/>
    <w:rsid w:val="00EE7853"/>
    <w:rsid w:val="00EE7A73"/>
    <w:rsid w:val="00EE7CD4"/>
    <w:rsid w:val="00EE7D50"/>
    <w:rsid w:val="00EE7F09"/>
    <w:rsid w:val="00EF01ED"/>
    <w:rsid w:val="00EF03FF"/>
    <w:rsid w:val="00EF0CBA"/>
    <w:rsid w:val="00EF0D9E"/>
    <w:rsid w:val="00EF0F52"/>
    <w:rsid w:val="00EF117F"/>
    <w:rsid w:val="00EF12A1"/>
    <w:rsid w:val="00EF16D2"/>
    <w:rsid w:val="00EF1E69"/>
    <w:rsid w:val="00EF26D6"/>
    <w:rsid w:val="00EF2D06"/>
    <w:rsid w:val="00EF2F5D"/>
    <w:rsid w:val="00EF314D"/>
    <w:rsid w:val="00EF35AE"/>
    <w:rsid w:val="00EF360F"/>
    <w:rsid w:val="00EF36E5"/>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2"/>
    <w:rsid w:val="00F002D3"/>
    <w:rsid w:val="00F00305"/>
    <w:rsid w:val="00F009BF"/>
    <w:rsid w:val="00F00F63"/>
    <w:rsid w:val="00F01075"/>
    <w:rsid w:val="00F010B0"/>
    <w:rsid w:val="00F010B1"/>
    <w:rsid w:val="00F015ED"/>
    <w:rsid w:val="00F02210"/>
    <w:rsid w:val="00F022D8"/>
    <w:rsid w:val="00F025C7"/>
    <w:rsid w:val="00F02645"/>
    <w:rsid w:val="00F02A24"/>
    <w:rsid w:val="00F030EC"/>
    <w:rsid w:val="00F031C6"/>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128"/>
    <w:rsid w:val="00F074D4"/>
    <w:rsid w:val="00F07BDD"/>
    <w:rsid w:val="00F07F3A"/>
    <w:rsid w:val="00F1017C"/>
    <w:rsid w:val="00F10312"/>
    <w:rsid w:val="00F1065D"/>
    <w:rsid w:val="00F1169A"/>
    <w:rsid w:val="00F121F3"/>
    <w:rsid w:val="00F1232C"/>
    <w:rsid w:val="00F12592"/>
    <w:rsid w:val="00F125FC"/>
    <w:rsid w:val="00F12B44"/>
    <w:rsid w:val="00F1326D"/>
    <w:rsid w:val="00F1362F"/>
    <w:rsid w:val="00F136FD"/>
    <w:rsid w:val="00F1396D"/>
    <w:rsid w:val="00F13D0E"/>
    <w:rsid w:val="00F13DBE"/>
    <w:rsid w:val="00F13E2C"/>
    <w:rsid w:val="00F1409C"/>
    <w:rsid w:val="00F1413F"/>
    <w:rsid w:val="00F144E4"/>
    <w:rsid w:val="00F14CEC"/>
    <w:rsid w:val="00F14E90"/>
    <w:rsid w:val="00F150FC"/>
    <w:rsid w:val="00F157F3"/>
    <w:rsid w:val="00F15B05"/>
    <w:rsid w:val="00F15D11"/>
    <w:rsid w:val="00F15F46"/>
    <w:rsid w:val="00F15F8F"/>
    <w:rsid w:val="00F166BD"/>
    <w:rsid w:val="00F16ABD"/>
    <w:rsid w:val="00F1719F"/>
    <w:rsid w:val="00F17239"/>
    <w:rsid w:val="00F17342"/>
    <w:rsid w:val="00F175DD"/>
    <w:rsid w:val="00F17E24"/>
    <w:rsid w:val="00F17FD6"/>
    <w:rsid w:val="00F202E2"/>
    <w:rsid w:val="00F205BA"/>
    <w:rsid w:val="00F20A93"/>
    <w:rsid w:val="00F20AB5"/>
    <w:rsid w:val="00F20C59"/>
    <w:rsid w:val="00F2139E"/>
    <w:rsid w:val="00F2156C"/>
    <w:rsid w:val="00F21662"/>
    <w:rsid w:val="00F216EE"/>
    <w:rsid w:val="00F21B46"/>
    <w:rsid w:val="00F21B54"/>
    <w:rsid w:val="00F21B9C"/>
    <w:rsid w:val="00F21C07"/>
    <w:rsid w:val="00F21C5B"/>
    <w:rsid w:val="00F21F79"/>
    <w:rsid w:val="00F22453"/>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6DA"/>
    <w:rsid w:val="00F249CF"/>
    <w:rsid w:val="00F24F0D"/>
    <w:rsid w:val="00F24FC3"/>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B00"/>
    <w:rsid w:val="00F27E26"/>
    <w:rsid w:val="00F27FF0"/>
    <w:rsid w:val="00F300CA"/>
    <w:rsid w:val="00F301F5"/>
    <w:rsid w:val="00F30532"/>
    <w:rsid w:val="00F308C9"/>
    <w:rsid w:val="00F30A4F"/>
    <w:rsid w:val="00F30B3D"/>
    <w:rsid w:val="00F31AB4"/>
    <w:rsid w:val="00F31B67"/>
    <w:rsid w:val="00F31D92"/>
    <w:rsid w:val="00F31E76"/>
    <w:rsid w:val="00F32114"/>
    <w:rsid w:val="00F323CA"/>
    <w:rsid w:val="00F32498"/>
    <w:rsid w:val="00F32B85"/>
    <w:rsid w:val="00F32CE9"/>
    <w:rsid w:val="00F3356F"/>
    <w:rsid w:val="00F33606"/>
    <w:rsid w:val="00F33639"/>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7EE"/>
    <w:rsid w:val="00F35A40"/>
    <w:rsid w:val="00F35E6C"/>
    <w:rsid w:val="00F35F0C"/>
    <w:rsid w:val="00F36462"/>
    <w:rsid w:val="00F36793"/>
    <w:rsid w:val="00F36AD9"/>
    <w:rsid w:val="00F37001"/>
    <w:rsid w:val="00F3724E"/>
    <w:rsid w:val="00F37694"/>
    <w:rsid w:val="00F4003D"/>
    <w:rsid w:val="00F403C9"/>
    <w:rsid w:val="00F40B09"/>
    <w:rsid w:val="00F40D68"/>
    <w:rsid w:val="00F4139A"/>
    <w:rsid w:val="00F41494"/>
    <w:rsid w:val="00F41528"/>
    <w:rsid w:val="00F41786"/>
    <w:rsid w:val="00F41A5C"/>
    <w:rsid w:val="00F42262"/>
    <w:rsid w:val="00F42317"/>
    <w:rsid w:val="00F423F3"/>
    <w:rsid w:val="00F424E2"/>
    <w:rsid w:val="00F42589"/>
    <w:rsid w:val="00F42BA7"/>
    <w:rsid w:val="00F42DED"/>
    <w:rsid w:val="00F4306C"/>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6711"/>
    <w:rsid w:val="00F47947"/>
    <w:rsid w:val="00F47A87"/>
    <w:rsid w:val="00F500AE"/>
    <w:rsid w:val="00F50891"/>
    <w:rsid w:val="00F50C96"/>
    <w:rsid w:val="00F50E2C"/>
    <w:rsid w:val="00F50ED5"/>
    <w:rsid w:val="00F51870"/>
    <w:rsid w:val="00F5229C"/>
    <w:rsid w:val="00F52775"/>
    <w:rsid w:val="00F5288C"/>
    <w:rsid w:val="00F52BF6"/>
    <w:rsid w:val="00F52CF1"/>
    <w:rsid w:val="00F52F12"/>
    <w:rsid w:val="00F52F6A"/>
    <w:rsid w:val="00F52FE8"/>
    <w:rsid w:val="00F53140"/>
    <w:rsid w:val="00F533DC"/>
    <w:rsid w:val="00F53521"/>
    <w:rsid w:val="00F53BA8"/>
    <w:rsid w:val="00F53CD8"/>
    <w:rsid w:val="00F540D9"/>
    <w:rsid w:val="00F54832"/>
    <w:rsid w:val="00F54C2A"/>
    <w:rsid w:val="00F54E4A"/>
    <w:rsid w:val="00F5502C"/>
    <w:rsid w:val="00F551AB"/>
    <w:rsid w:val="00F55586"/>
    <w:rsid w:val="00F56074"/>
    <w:rsid w:val="00F56390"/>
    <w:rsid w:val="00F56426"/>
    <w:rsid w:val="00F5679A"/>
    <w:rsid w:val="00F56890"/>
    <w:rsid w:val="00F56C24"/>
    <w:rsid w:val="00F56E54"/>
    <w:rsid w:val="00F56F54"/>
    <w:rsid w:val="00F57285"/>
    <w:rsid w:val="00F574FF"/>
    <w:rsid w:val="00F57AD0"/>
    <w:rsid w:val="00F57AFE"/>
    <w:rsid w:val="00F60029"/>
    <w:rsid w:val="00F60123"/>
    <w:rsid w:val="00F604C0"/>
    <w:rsid w:val="00F60918"/>
    <w:rsid w:val="00F60D96"/>
    <w:rsid w:val="00F60F6E"/>
    <w:rsid w:val="00F61133"/>
    <w:rsid w:val="00F613FA"/>
    <w:rsid w:val="00F6230A"/>
    <w:rsid w:val="00F624B5"/>
    <w:rsid w:val="00F62632"/>
    <w:rsid w:val="00F62BCD"/>
    <w:rsid w:val="00F635B6"/>
    <w:rsid w:val="00F636A9"/>
    <w:rsid w:val="00F6382A"/>
    <w:rsid w:val="00F64219"/>
    <w:rsid w:val="00F642FB"/>
    <w:rsid w:val="00F64385"/>
    <w:rsid w:val="00F643BB"/>
    <w:rsid w:val="00F65251"/>
    <w:rsid w:val="00F656B6"/>
    <w:rsid w:val="00F65BED"/>
    <w:rsid w:val="00F65D4D"/>
    <w:rsid w:val="00F65DF1"/>
    <w:rsid w:val="00F65F24"/>
    <w:rsid w:val="00F65FF4"/>
    <w:rsid w:val="00F66048"/>
    <w:rsid w:val="00F66083"/>
    <w:rsid w:val="00F66139"/>
    <w:rsid w:val="00F662E9"/>
    <w:rsid w:val="00F6649B"/>
    <w:rsid w:val="00F664A4"/>
    <w:rsid w:val="00F667DE"/>
    <w:rsid w:val="00F66AD8"/>
    <w:rsid w:val="00F6749F"/>
    <w:rsid w:val="00F678AB"/>
    <w:rsid w:val="00F67D6E"/>
    <w:rsid w:val="00F70444"/>
    <w:rsid w:val="00F70514"/>
    <w:rsid w:val="00F70773"/>
    <w:rsid w:val="00F707D1"/>
    <w:rsid w:val="00F70893"/>
    <w:rsid w:val="00F70A9A"/>
    <w:rsid w:val="00F71BDE"/>
    <w:rsid w:val="00F71CCE"/>
    <w:rsid w:val="00F71E9E"/>
    <w:rsid w:val="00F71F74"/>
    <w:rsid w:val="00F7218B"/>
    <w:rsid w:val="00F722A8"/>
    <w:rsid w:val="00F728BC"/>
    <w:rsid w:val="00F732F1"/>
    <w:rsid w:val="00F73ACE"/>
    <w:rsid w:val="00F74732"/>
    <w:rsid w:val="00F7476A"/>
    <w:rsid w:val="00F7484C"/>
    <w:rsid w:val="00F74A2A"/>
    <w:rsid w:val="00F74D02"/>
    <w:rsid w:val="00F75D5D"/>
    <w:rsid w:val="00F761F2"/>
    <w:rsid w:val="00F7624D"/>
    <w:rsid w:val="00F76458"/>
    <w:rsid w:val="00F7668C"/>
    <w:rsid w:val="00F76733"/>
    <w:rsid w:val="00F768B5"/>
    <w:rsid w:val="00F768FB"/>
    <w:rsid w:val="00F7771C"/>
    <w:rsid w:val="00F77ACD"/>
    <w:rsid w:val="00F77B30"/>
    <w:rsid w:val="00F77B86"/>
    <w:rsid w:val="00F80698"/>
    <w:rsid w:val="00F809AB"/>
    <w:rsid w:val="00F80AFE"/>
    <w:rsid w:val="00F80FC7"/>
    <w:rsid w:val="00F80FD9"/>
    <w:rsid w:val="00F81171"/>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4F8"/>
    <w:rsid w:val="00F836E3"/>
    <w:rsid w:val="00F83B2F"/>
    <w:rsid w:val="00F844A1"/>
    <w:rsid w:val="00F845F5"/>
    <w:rsid w:val="00F850BC"/>
    <w:rsid w:val="00F855F9"/>
    <w:rsid w:val="00F8575C"/>
    <w:rsid w:val="00F859C9"/>
    <w:rsid w:val="00F85A62"/>
    <w:rsid w:val="00F85B0A"/>
    <w:rsid w:val="00F85D11"/>
    <w:rsid w:val="00F860A8"/>
    <w:rsid w:val="00F8616D"/>
    <w:rsid w:val="00F868CA"/>
    <w:rsid w:val="00F86B5C"/>
    <w:rsid w:val="00F87197"/>
    <w:rsid w:val="00F872AC"/>
    <w:rsid w:val="00F8763B"/>
    <w:rsid w:val="00F87717"/>
    <w:rsid w:val="00F8778E"/>
    <w:rsid w:val="00F87E70"/>
    <w:rsid w:val="00F87FF6"/>
    <w:rsid w:val="00F903DB"/>
    <w:rsid w:val="00F90757"/>
    <w:rsid w:val="00F907A5"/>
    <w:rsid w:val="00F908D7"/>
    <w:rsid w:val="00F91107"/>
    <w:rsid w:val="00F912AC"/>
    <w:rsid w:val="00F91A7E"/>
    <w:rsid w:val="00F91AF8"/>
    <w:rsid w:val="00F92119"/>
    <w:rsid w:val="00F92523"/>
    <w:rsid w:val="00F927A9"/>
    <w:rsid w:val="00F92E50"/>
    <w:rsid w:val="00F938C0"/>
    <w:rsid w:val="00F9397E"/>
    <w:rsid w:val="00F93C88"/>
    <w:rsid w:val="00F93CE0"/>
    <w:rsid w:val="00F93CFF"/>
    <w:rsid w:val="00F94239"/>
    <w:rsid w:val="00F94281"/>
    <w:rsid w:val="00F94558"/>
    <w:rsid w:val="00F94792"/>
    <w:rsid w:val="00F949B5"/>
    <w:rsid w:val="00F94B6C"/>
    <w:rsid w:val="00F94C0D"/>
    <w:rsid w:val="00F94D9B"/>
    <w:rsid w:val="00F95206"/>
    <w:rsid w:val="00F95A5C"/>
    <w:rsid w:val="00F95A9E"/>
    <w:rsid w:val="00F96568"/>
    <w:rsid w:val="00F965BC"/>
    <w:rsid w:val="00F9683A"/>
    <w:rsid w:val="00F9695E"/>
    <w:rsid w:val="00F96E42"/>
    <w:rsid w:val="00F97185"/>
    <w:rsid w:val="00F977BB"/>
    <w:rsid w:val="00F97811"/>
    <w:rsid w:val="00F97C62"/>
    <w:rsid w:val="00FA0056"/>
    <w:rsid w:val="00FA019C"/>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705"/>
    <w:rsid w:val="00FA37F5"/>
    <w:rsid w:val="00FA3E8B"/>
    <w:rsid w:val="00FA4555"/>
    <w:rsid w:val="00FA47AA"/>
    <w:rsid w:val="00FA4B73"/>
    <w:rsid w:val="00FA4D1F"/>
    <w:rsid w:val="00FA4FBC"/>
    <w:rsid w:val="00FA554D"/>
    <w:rsid w:val="00FA5845"/>
    <w:rsid w:val="00FA59BE"/>
    <w:rsid w:val="00FA5AAF"/>
    <w:rsid w:val="00FA610E"/>
    <w:rsid w:val="00FA6126"/>
    <w:rsid w:val="00FA61C8"/>
    <w:rsid w:val="00FA631B"/>
    <w:rsid w:val="00FA6433"/>
    <w:rsid w:val="00FA6550"/>
    <w:rsid w:val="00FA68A8"/>
    <w:rsid w:val="00FA6F92"/>
    <w:rsid w:val="00FB01EA"/>
    <w:rsid w:val="00FB0BB5"/>
    <w:rsid w:val="00FB147B"/>
    <w:rsid w:val="00FB1669"/>
    <w:rsid w:val="00FB1979"/>
    <w:rsid w:val="00FB1DA4"/>
    <w:rsid w:val="00FB21AC"/>
    <w:rsid w:val="00FB21F3"/>
    <w:rsid w:val="00FB23B7"/>
    <w:rsid w:val="00FB25E5"/>
    <w:rsid w:val="00FB2640"/>
    <w:rsid w:val="00FB26A4"/>
    <w:rsid w:val="00FB29FE"/>
    <w:rsid w:val="00FB2A77"/>
    <w:rsid w:val="00FB356D"/>
    <w:rsid w:val="00FB37EF"/>
    <w:rsid w:val="00FB3995"/>
    <w:rsid w:val="00FB39BC"/>
    <w:rsid w:val="00FB39CF"/>
    <w:rsid w:val="00FB3ACD"/>
    <w:rsid w:val="00FB3B18"/>
    <w:rsid w:val="00FB4124"/>
    <w:rsid w:val="00FB4642"/>
    <w:rsid w:val="00FB4BAC"/>
    <w:rsid w:val="00FB4C82"/>
    <w:rsid w:val="00FB4F2D"/>
    <w:rsid w:val="00FB5087"/>
    <w:rsid w:val="00FB51B7"/>
    <w:rsid w:val="00FB538F"/>
    <w:rsid w:val="00FB561C"/>
    <w:rsid w:val="00FB56E6"/>
    <w:rsid w:val="00FB58BE"/>
    <w:rsid w:val="00FB5E0F"/>
    <w:rsid w:val="00FB5E2B"/>
    <w:rsid w:val="00FB5F1B"/>
    <w:rsid w:val="00FB62F2"/>
    <w:rsid w:val="00FB6329"/>
    <w:rsid w:val="00FB6442"/>
    <w:rsid w:val="00FB655E"/>
    <w:rsid w:val="00FB6DF2"/>
    <w:rsid w:val="00FB6E23"/>
    <w:rsid w:val="00FB6F0D"/>
    <w:rsid w:val="00FB714A"/>
    <w:rsid w:val="00FB73E2"/>
    <w:rsid w:val="00FB7439"/>
    <w:rsid w:val="00FB7A97"/>
    <w:rsid w:val="00FB7D3E"/>
    <w:rsid w:val="00FC06CC"/>
    <w:rsid w:val="00FC0AC9"/>
    <w:rsid w:val="00FC1086"/>
    <w:rsid w:val="00FC161E"/>
    <w:rsid w:val="00FC1B17"/>
    <w:rsid w:val="00FC261C"/>
    <w:rsid w:val="00FC2A0F"/>
    <w:rsid w:val="00FC2E83"/>
    <w:rsid w:val="00FC3317"/>
    <w:rsid w:val="00FC3373"/>
    <w:rsid w:val="00FC3455"/>
    <w:rsid w:val="00FC3714"/>
    <w:rsid w:val="00FC3A96"/>
    <w:rsid w:val="00FC3CD0"/>
    <w:rsid w:val="00FC406E"/>
    <w:rsid w:val="00FC432D"/>
    <w:rsid w:val="00FC45FA"/>
    <w:rsid w:val="00FC4651"/>
    <w:rsid w:val="00FC49A1"/>
    <w:rsid w:val="00FC4DAB"/>
    <w:rsid w:val="00FC4DB6"/>
    <w:rsid w:val="00FC4F20"/>
    <w:rsid w:val="00FC5005"/>
    <w:rsid w:val="00FC507E"/>
    <w:rsid w:val="00FC5219"/>
    <w:rsid w:val="00FC5286"/>
    <w:rsid w:val="00FC5945"/>
    <w:rsid w:val="00FC60D0"/>
    <w:rsid w:val="00FC6260"/>
    <w:rsid w:val="00FC62DE"/>
    <w:rsid w:val="00FC6504"/>
    <w:rsid w:val="00FC70A2"/>
    <w:rsid w:val="00FC71D5"/>
    <w:rsid w:val="00FC72FA"/>
    <w:rsid w:val="00FC73F8"/>
    <w:rsid w:val="00FC73FC"/>
    <w:rsid w:val="00FC7543"/>
    <w:rsid w:val="00FC7B15"/>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D4E"/>
    <w:rsid w:val="00FD2FD0"/>
    <w:rsid w:val="00FD3474"/>
    <w:rsid w:val="00FD34D4"/>
    <w:rsid w:val="00FD34E1"/>
    <w:rsid w:val="00FD3674"/>
    <w:rsid w:val="00FD3784"/>
    <w:rsid w:val="00FD3A24"/>
    <w:rsid w:val="00FD3D7B"/>
    <w:rsid w:val="00FD3FC2"/>
    <w:rsid w:val="00FD4367"/>
    <w:rsid w:val="00FD465D"/>
    <w:rsid w:val="00FD4776"/>
    <w:rsid w:val="00FD48E4"/>
    <w:rsid w:val="00FD493C"/>
    <w:rsid w:val="00FD5064"/>
    <w:rsid w:val="00FD50B2"/>
    <w:rsid w:val="00FD518E"/>
    <w:rsid w:val="00FD5294"/>
    <w:rsid w:val="00FD52F3"/>
    <w:rsid w:val="00FD55AA"/>
    <w:rsid w:val="00FD58E8"/>
    <w:rsid w:val="00FD59C1"/>
    <w:rsid w:val="00FD633A"/>
    <w:rsid w:val="00FD6359"/>
    <w:rsid w:val="00FD65FB"/>
    <w:rsid w:val="00FD663E"/>
    <w:rsid w:val="00FD67BB"/>
    <w:rsid w:val="00FD6976"/>
    <w:rsid w:val="00FD6F62"/>
    <w:rsid w:val="00FD719F"/>
    <w:rsid w:val="00FD76FB"/>
    <w:rsid w:val="00FD7800"/>
    <w:rsid w:val="00FD7D38"/>
    <w:rsid w:val="00FD7D3E"/>
    <w:rsid w:val="00FE029F"/>
    <w:rsid w:val="00FE05E4"/>
    <w:rsid w:val="00FE06D1"/>
    <w:rsid w:val="00FE0955"/>
    <w:rsid w:val="00FE0CAB"/>
    <w:rsid w:val="00FE0CB0"/>
    <w:rsid w:val="00FE0E5E"/>
    <w:rsid w:val="00FE0F2E"/>
    <w:rsid w:val="00FE1308"/>
    <w:rsid w:val="00FE139C"/>
    <w:rsid w:val="00FE17F1"/>
    <w:rsid w:val="00FE17FD"/>
    <w:rsid w:val="00FE188B"/>
    <w:rsid w:val="00FE1F87"/>
    <w:rsid w:val="00FE2098"/>
    <w:rsid w:val="00FE212F"/>
    <w:rsid w:val="00FE21BB"/>
    <w:rsid w:val="00FE28F0"/>
    <w:rsid w:val="00FE2D92"/>
    <w:rsid w:val="00FE2E49"/>
    <w:rsid w:val="00FE2FFD"/>
    <w:rsid w:val="00FE3947"/>
    <w:rsid w:val="00FE3E0D"/>
    <w:rsid w:val="00FE40C4"/>
    <w:rsid w:val="00FE46AA"/>
    <w:rsid w:val="00FE4B16"/>
    <w:rsid w:val="00FE4BBD"/>
    <w:rsid w:val="00FE4C69"/>
    <w:rsid w:val="00FE4DC3"/>
    <w:rsid w:val="00FE4E1D"/>
    <w:rsid w:val="00FE5024"/>
    <w:rsid w:val="00FE55C7"/>
    <w:rsid w:val="00FE5CA7"/>
    <w:rsid w:val="00FE60AB"/>
    <w:rsid w:val="00FE64D4"/>
    <w:rsid w:val="00FE651F"/>
    <w:rsid w:val="00FE699C"/>
    <w:rsid w:val="00FE6F56"/>
    <w:rsid w:val="00FE71D6"/>
    <w:rsid w:val="00FE7287"/>
    <w:rsid w:val="00FE73A7"/>
    <w:rsid w:val="00FE752A"/>
    <w:rsid w:val="00FE7B19"/>
    <w:rsid w:val="00FE7D97"/>
    <w:rsid w:val="00FF034B"/>
    <w:rsid w:val="00FF0586"/>
    <w:rsid w:val="00FF0BC3"/>
    <w:rsid w:val="00FF0D24"/>
    <w:rsid w:val="00FF1468"/>
    <w:rsid w:val="00FF14F7"/>
    <w:rsid w:val="00FF16A4"/>
    <w:rsid w:val="00FF1E15"/>
    <w:rsid w:val="00FF20DA"/>
    <w:rsid w:val="00FF2174"/>
    <w:rsid w:val="00FF2918"/>
    <w:rsid w:val="00FF2C13"/>
    <w:rsid w:val="00FF2E8D"/>
    <w:rsid w:val="00FF2FDF"/>
    <w:rsid w:val="00FF30EF"/>
    <w:rsid w:val="00FF34F9"/>
    <w:rsid w:val="00FF372A"/>
    <w:rsid w:val="00FF3E30"/>
    <w:rsid w:val="00FF449E"/>
    <w:rsid w:val="00FF45BA"/>
    <w:rsid w:val="00FF4693"/>
    <w:rsid w:val="00FF4741"/>
    <w:rsid w:val="00FF4779"/>
    <w:rsid w:val="00FF529C"/>
    <w:rsid w:val="00FF56EE"/>
    <w:rsid w:val="00FF5776"/>
    <w:rsid w:val="00FF57A4"/>
    <w:rsid w:val="00FF5FE7"/>
    <w:rsid w:val="00FF61A7"/>
    <w:rsid w:val="00FF6221"/>
    <w:rsid w:val="00FF62B2"/>
    <w:rsid w:val="00FF62B3"/>
    <w:rsid w:val="00FF643E"/>
    <w:rsid w:val="00FF658D"/>
    <w:rsid w:val="00FF68D0"/>
    <w:rsid w:val="00FF6B59"/>
    <w:rsid w:val="00FF6CFE"/>
    <w:rsid w:val="00FF6DF9"/>
    <w:rsid w:val="00FF71C3"/>
    <w:rsid w:val="00FF7392"/>
    <w:rsid w:val="00FF75D3"/>
    <w:rsid w:val="00FF76CA"/>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14AA"/>
  <w15:chartTrackingRefBased/>
  <w15:docId w15:val="{F264234C-10BA-483E-907D-8357CAF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4B"/>
    <w:pPr>
      <w:spacing w:after="240"/>
      <w:jc w:val="both"/>
    </w:pPr>
    <w:rPr>
      <w:rFonts w:ascii="Times New Roman" w:hAnsi="Times New Roman"/>
    </w:rPr>
  </w:style>
  <w:style w:type="paragraph" w:styleId="Heading1">
    <w:name w:val="heading 1"/>
    <w:next w:val="Normal"/>
    <w:link w:val="Heading1Char"/>
    <w:uiPriority w:val="99"/>
    <w:unhideWhenUsed/>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iPriority w:val="99"/>
    <w:unhideWhenUsed/>
    <w:qFormat/>
    <w:rsid w:val="005A6EC6"/>
    <w:pPr>
      <w:outlineLvl w:val="1"/>
    </w:pPr>
    <w:rPr>
      <w:b w:val="0"/>
      <w:bCs w:val="0"/>
      <w:sz w:val="22"/>
      <w:szCs w:val="26"/>
    </w:rPr>
  </w:style>
  <w:style w:type="paragraph" w:styleId="Heading3">
    <w:name w:val="heading 3"/>
    <w:basedOn w:val="Normal"/>
    <w:next w:val="Normal"/>
    <w:link w:val="Heading3Char"/>
    <w:uiPriority w:val="99"/>
    <w:unhideWhenUsed/>
    <w:qFormat/>
    <w:rsid w:val="00105E26"/>
    <w:pPr>
      <w:spacing w:after="0"/>
      <w:jc w:val="center"/>
      <w:outlineLvl w:val="2"/>
    </w:pPr>
    <w:rPr>
      <w:rFonts w:eastAsia="Times New Roman"/>
      <w:b/>
      <w:bCs/>
      <w:sz w:val="22"/>
    </w:rPr>
  </w:style>
  <w:style w:type="paragraph" w:styleId="Heading4">
    <w:name w:val="heading 4"/>
    <w:aliases w:val="Heading UR.1.1."/>
    <w:basedOn w:val="Normal"/>
    <w:next w:val="Normal"/>
    <w:link w:val="Heading4Char"/>
    <w:uiPriority w:val="99"/>
    <w:unhideWhenUsed/>
    <w:qFormat/>
    <w:rsid w:val="00E30CDC"/>
    <w:pPr>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9"/>
    <w:unhideWhenUsed/>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FD29CF"/>
    <w:p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uiPriority w:val="99"/>
    <w:unhideWhenUsed/>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uiPriority w:val="99"/>
    <w:unhideWhenUsed/>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2A25"/>
    <w:rPr>
      <w:rFonts w:ascii="Times New Roman" w:eastAsia="Times New Roman" w:hAnsi="Times New Roman"/>
      <w:b/>
      <w:bCs/>
      <w:caps/>
      <w:sz w:val="24"/>
      <w:szCs w:val="28"/>
    </w:rPr>
  </w:style>
  <w:style w:type="character" w:customStyle="1" w:styleId="Heading2Char">
    <w:name w:val="Heading 2 Char"/>
    <w:link w:val="Heading2"/>
    <w:uiPriority w:val="99"/>
    <w:rsid w:val="00A7203B"/>
    <w:rPr>
      <w:rFonts w:ascii="Times New Roman" w:eastAsia="Times New Roman" w:hAnsi="Times New Roman"/>
      <w:caps/>
      <w:sz w:val="22"/>
      <w:szCs w:val="26"/>
    </w:rPr>
  </w:style>
  <w:style w:type="character" w:customStyle="1" w:styleId="Heading3Char">
    <w:name w:val="Heading 3 Char"/>
    <w:link w:val="Heading3"/>
    <w:uiPriority w:val="99"/>
    <w:rsid w:val="00A7203B"/>
    <w:rPr>
      <w:rFonts w:ascii="Times New Roman" w:eastAsia="Times New Roman" w:hAnsi="Times New Roman"/>
      <w:b/>
      <w:bCs/>
      <w:sz w:val="22"/>
    </w:rPr>
  </w:style>
  <w:style w:type="character" w:customStyle="1" w:styleId="Heading4Char">
    <w:name w:val="Heading 4 Char"/>
    <w:aliases w:val="Heading UR.1.1. Char"/>
    <w:link w:val="Heading4"/>
    <w:uiPriority w:val="99"/>
    <w:rsid w:val="00A7203B"/>
    <w:rPr>
      <w:rFonts w:ascii="Times New Roman" w:eastAsia="Times New Roman" w:hAnsi="Times New Roman"/>
      <w:b/>
      <w:bCs/>
      <w:iCs/>
      <w:sz w:val="22"/>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uiPriority w:val="39"/>
    <w:semiHidden/>
    <w:unhideWhenUsed/>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9"/>
    <w:semiHidden/>
    <w:unhideWhenUsed/>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uiPriority w:val="49"/>
    <w:unhideWhenUsed/>
    <w:rsid w:val="00787052"/>
    <w:pPr>
      <w:jc w:val="center"/>
    </w:pPr>
  </w:style>
  <w:style w:type="character" w:customStyle="1" w:styleId="IssuedDate">
    <w:name w:val="Issued Date"/>
    <w:uiPriority w:val="49"/>
    <w:unhideWhenUsed/>
    <w:rsid w:val="00767CC7"/>
    <w:rPr>
      <w:rFonts w:ascii="Times New Roman" w:hAnsi="Times New Roman"/>
      <w:color w:val="auto"/>
      <w:sz w:val="20"/>
    </w:rPr>
  </w:style>
  <w:style w:type="paragraph" w:customStyle="1" w:styleId="misc">
    <w:name w:val="misc"/>
    <w:basedOn w:val="Normal"/>
    <w:uiPriority w:val="99"/>
    <w:unhideWhenUsed/>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rsid w:val="004D06EA"/>
    <w:pPr>
      <w:suppressLineNumbers/>
      <w:tabs>
        <w:tab w:val="left" w:pos="1710"/>
        <w:tab w:val="right" w:leader="dot" w:pos="9360"/>
      </w:tabs>
      <w:spacing w:after="0"/>
      <w:ind w:left="2160" w:right="360" w:hanging="1800"/>
      <w:jc w:val="left"/>
    </w:pPr>
    <w:rPr>
      <w:rFonts w:eastAsia="Times New Roman"/>
      <w:color w:val="000000"/>
      <w:lang w:eastAsia="ja-JP"/>
    </w:rPr>
  </w:style>
  <w:style w:type="paragraph" w:styleId="TOC1">
    <w:name w:val="toc 1"/>
    <w:basedOn w:val="Normal"/>
    <w:next w:val="Normal"/>
    <w:autoRedefine/>
    <w:uiPriority w:val="39"/>
    <w:unhideWhenUsed/>
    <w:rsid w:val="004D06EA"/>
    <w:pPr>
      <w:suppressLineNumbers/>
      <w:tabs>
        <w:tab w:val="right" w:leader="dot" w:pos="9360"/>
      </w:tabs>
      <w:spacing w:before="80" w:after="80"/>
      <w:ind w:left="2160" w:hanging="2160"/>
      <w:jc w:val="left"/>
    </w:pPr>
    <w:rPr>
      <w:rFonts w:eastAsia="Times New Roman"/>
      <w:b/>
      <w:caps/>
      <w:color w:val="000000"/>
      <w:lang w:eastAsia="ja-JP"/>
    </w:rPr>
  </w:style>
  <w:style w:type="paragraph" w:styleId="TOC3">
    <w:name w:val="toc 3"/>
    <w:basedOn w:val="Normal"/>
    <w:next w:val="Normal"/>
    <w:autoRedefine/>
    <w:uiPriority w:val="39"/>
    <w:unhideWhenUsed/>
    <w:rsid w:val="004529F2"/>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uiPriority w:val="19"/>
    <w:qFormat/>
    <w:rsid w:val="00AB5C37"/>
    <w:pPr>
      <w:spacing w:after="0"/>
    </w:pPr>
  </w:style>
  <w:style w:type="paragraph" w:customStyle="1" w:styleId="SubjectSeries">
    <w:name w:val="Subject Series"/>
    <w:basedOn w:val="Normal"/>
    <w:uiPriority w:val="44"/>
    <w:unhideWhenUsed/>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uiPriority w:val="9"/>
    <w:unhideWhenUsed/>
    <w:rsid w:val="003C4B56"/>
  </w:style>
  <w:style w:type="paragraph" w:customStyle="1" w:styleId="TableHeading">
    <w:name w:val="Table Heading"/>
    <w:basedOn w:val="Heading3"/>
    <w:uiPriority w:val="49"/>
    <w:semiHidden/>
    <w:unhideWhenUsed/>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uiPriority w:val="39"/>
    <w:unhideWhenUsed/>
    <w:rsid w:val="00771DDB"/>
    <w:pPr>
      <w:spacing w:before="720"/>
      <w:ind w:left="907" w:hanging="907"/>
    </w:pPr>
  </w:style>
  <w:style w:type="paragraph" w:styleId="TOC4">
    <w:name w:val="toc 4"/>
    <w:basedOn w:val="Normal"/>
    <w:next w:val="Normal"/>
    <w:autoRedefine/>
    <w:uiPriority w:val="39"/>
    <w:unhideWhenUsed/>
    <w:rsid w:val="000E6709"/>
    <w:pPr>
      <w:tabs>
        <w:tab w:val="left" w:pos="1627"/>
        <w:tab w:val="left" w:pos="2160"/>
        <w:tab w:val="right" w:leader="dot" w:pos="9346"/>
      </w:tabs>
      <w:spacing w:after="120"/>
      <w:ind w:left="432"/>
    </w:pPr>
  </w:style>
  <w:style w:type="paragraph" w:customStyle="1" w:styleId="ItemHeadingSecondary">
    <w:name w:val="Item Heading Secondary"/>
    <w:basedOn w:val="ItemHeading"/>
    <w:uiPriority w:val="9"/>
    <w:unhideWhenUsed/>
    <w:qFormat/>
    <w:rsid w:val="00736916"/>
  </w:style>
  <w:style w:type="paragraph" w:customStyle="1" w:styleId="TableColumnHeadings">
    <w:name w:val="Table Column Headings"/>
    <w:basedOn w:val="Heading3"/>
    <w:uiPriority w:val="49"/>
    <w:semiHidden/>
    <w:unhideWhenUsed/>
    <w:qFormat/>
    <w:rsid w:val="0038520D"/>
    <w:rPr>
      <w:sz w:val="20"/>
      <w:lang w:eastAsia="ja-JP"/>
    </w:rPr>
  </w:style>
  <w:style w:type="paragraph" w:styleId="FootnoteText">
    <w:name w:val="footnote text"/>
    <w:basedOn w:val="Normal"/>
    <w:link w:val="FootnoteTextChar"/>
    <w:uiPriority w:val="99"/>
    <w:unhideWhenUsed/>
    <w:rsid w:val="00937990"/>
    <w:pPr>
      <w:spacing w:after="0"/>
    </w:pPr>
    <w:rPr>
      <w:sz w:val="18"/>
    </w:rPr>
  </w:style>
  <w:style w:type="character" w:customStyle="1" w:styleId="FootnoteTextChar">
    <w:name w:val="Footnote Text Char"/>
    <w:link w:val="FootnoteText"/>
    <w:uiPriority w:val="99"/>
    <w:rsid w:val="00937990"/>
    <w:rPr>
      <w:rFonts w:ascii="Times New Roman" w:hAnsi="Times New Roman"/>
      <w:sz w:val="18"/>
    </w:rPr>
  </w:style>
  <w:style w:type="character" w:styleId="FootnoteReference">
    <w:name w:val="footnote reference"/>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uiPriority w:val="39"/>
    <w:unhideWhenUsed/>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uiPriority w:val="49"/>
    <w:unhideWhenUsed/>
    <w:rsid w:val="000C7B7D"/>
    <w:rPr>
      <w:rFonts w:ascii="Times New Roman Bold" w:hAnsi="Times New Roman Bold"/>
    </w:rPr>
  </w:style>
  <w:style w:type="paragraph" w:customStyle="1" w:styleId="AgendaItems">
    <w:name w:val="Agenda Items"/>
    <w:basedOn w:val="Normal"/>
    <w:uiPriority w:val="9"/>
    <w:unhideWhenUsed/>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uiPriority w:val="44"/>
    <w:semiHidden/>
    <w:unhideWhenUsed/>
    <w:qFormat/>
    <w:rsid w:val="005A5535"/>
    <w:pPr>
      <w:spacing w:before="120"/>
      <w:ind w:left="0"/>
    </w:pPr>
  </w:style>
  <w:style w:type="paragraph" w:customStyle="1" w:styleId="SubjectSeriesLevel2">
    <w:name w:val="Subject Series Level 2"/>
    <w:basedOn w:val="Normal"/>
    <w:uiPriority w:val="44"/>
    <w:semiHidden/>
    <w:unhideWhenUsed/>
    <w:qFormat/>
    <w:rsid w:val="008B0AC2"/>
    <w:pPr>
      <w:tabs>
        <w:tab w:val="right" w:leader="dot" w:pos="9360"/>
      </w:tabs>
      <w:spacing w:after="0"/>
      <w:ind w:left="360"/>
      <w:jc w:val="left"/>
    </w:pPr>
  </w:style>
  <w:style w:type="paragraph" w:customStyle="1" w:styleId="SubjectSeriesLevel3">
    <w:name w:val="Subject Series Level 3"/>
    <w:basedOn w:val="SubjectSeriesLevel2"/>
    <w:uiPriority w:val="44"/>
    <w:unhideWhenUsed/>
    <w:rsid w:val="008B0AC2"/>
    <w:pPr>
      <w:ind w:left="720"/>
    </w:pPr>
  </w:style>
  <w:style w:type="paragraph" w:customStyle="1" w:styleId="BoldHeading">
    <w:name w:val="Bold Heading"/>
    <w:basedOn w:val="Normal"/>
    <w:uiPriority w:val="99"/>
    <w:semiHidden/>
    <w:unhideWhenUsed/>
    <w:qFormat/>
    <w:rsid w:val="00D72333"/>
    <w:pPr>
      <w:spacing w:after="0"/>
    </w:pPr>
    <w:rPr>
      <w:b/>
    </w:rPr>
  </w:style>
  <w:style w:type="paragraph" w:customStyle="1" w:styleId="numberedlist">
    <w:name w:val="numbered list"/>
    <w:basedOn w:val="ListParagraph"/>
    <w:autoRedefine/>
    <w:uiPriority w:val="99"/>
    <w:unhideWhenUsed/>
    <w:rsid w:val="00805BF5"/>
    <w:pPr>
      <w:numPr>
        <w:numId w:val="9"/>
      </w:numPr>
    </w:pPr>
  </w:style>
  <w:style w:type="paragraph" w:customStyle="1" w:styleId="bulletedlist">
    <w:name w:val="bulleted list"/>
    <w:basedOn w:val="ListParagraph"/>
    <w:uiPriority w:val="39"/>
    <w:unhideWhenUsed/>
    <w:rsid w:val="00736916"/>
    <w:pPr>
      <w:numPr>
        <w:numId w:val="5"/>
      </w:numPr>
    </w:pPr>
  </w:style>
  <w:style w:type="paragraph" w:customStyle="1" w:styleId="submitterinformation">
    <w:name w:val="submitter information"/>
    <w:basedOn w:val="Normal"/>
    <w:uiPriority w:val="44"/>
    <w:unhideWhenUsed/>
    <w:rsid w:val="00771DDB"/>
    <w:pPr>
      <w:spacing w:after="0"/>
      <w:jc w:val="center"/>
    </w:pPr>
  </w:style>
  <w:style w:type="paragraph" w:customStyle="1" w:styleId="NumberSeriesLevel1">
    <w:name w:val="Number Series Level 1"/>
    <w:basedOn w:val="Normal"/>
    <w:uiPriority w:val="99"/>
    <w:unhideWhenUsed/>
    <w:rsid w:val="005A6EC6"/>
    <w:pPr>
      <w:numPr>
        <w:numId w:val="1"/>
      </w:numPr>
      <w:spacing w:after="120"/>
    </w:pPr>
    <w:rPr>
      <w:b/>
    </w:rPr>
  </w:style>
  <w:style w:type="paragraph" w:customStyle="1" w:styleId="NumberSeriesLevel2">
    <w:name w:val="Number Series Level 2"/>
    <w:basedOn w:val="Normal"/>
    <w:uiPriority w:val="99"/>
    <w:unhideWhenUsed/>
    <w:rsid w:val="005A6EC6"/>
    <w:pPr>
      <w:numPr>
        <w:ilvl w:val="1"/>
        <w:numId w:val="1"/>
      </w:numPr>
      <w:spacing w:after="120"/>
    </w:pPr>
  </w:style>
  <w:style w:type="paragraph" w:customStyle="1" w:styleId="Pub14Subtitle">
    <w:name w:val="Pub 14 Subtitle"/>
    <w:basedOn w:val="Normal"/>
    <w:uiPriority w:val="39"/>
    <w:unhideWhenUsed/>
    <w:rsid w:val="005A6EC6"/>
    <w:pPr>
      <w:spacing w:after="120"/>
      <w:ind w:left="936" w:hanging="576"/>
    </w:pPr>
    <w:rPr>
      <w:b/>
    </w:rPr>
  </w:style>
  <w:style w:type="paragraph" w:customStyle="1" w:styleId="Pub14BodyText">
    <w:name w:val="Pub 14 Body Text"/>
    <w:basedOn w:val="Normal"/>
    <w:uiPriority w:val="39"/>
    <w:unhideWhenUsed/>
    <w:rsid w:val="005A6EC6"/>
    <w:pPr>
      <w:spacing w:after="120"/>
      <w:ind w:left="936"/>
    </w:pPr>
  </w:style>
  <w:style w:type="paragraph" w:customStyle="1" w:styleId="Pub14Level1Letters">
    <w:name w:val="Pub 14 Level 1 Letters"/>
    <w:basedOn w:val="Normal"/>
    <w:uiPriority w:val="39"/>
    <w:unhideWhenUsed/>
    <w:rsid w:val="005A6EC6"/>
    <w:pPr>
      <w:spacing w:after="120"/>
      <w:ind w:left="1440" w:hanging="504"/>
    </w:pPr>
  </w:style>
  <w:style w:type="paragraph" w:customStyle="1" w:styleId="HB44Subtitle">
    <w:name w:val="HB 44 Subtitle"/>
    <w:uiPriority w:val="49"/>
    <w:unhideWhenUsed/>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uiPriority w:val="49"/>
    <w:unhideWhenUsed/>
    <w:rsid w:val="003B5D9A"/>
    <w:pPr>
      <w:spacing w:after="120"/>
      <w:ind w:left="1224" w:hanging="504"/>
      <w:jc w:val="both"/>
    </w:pPr>
    <w:rPr>
      <w:rFonts w:ascii="Times New Roman" w:hAnsi="Times New Roman"/>
      <w:szCs w:val="22"/>
    </w:rPr>
  </w:style>
  <w:style w:type="paragraph" w:customStyle="1" w:styleId="HB44Level1Numbers">
    <w:name w:val="HB 44 Level 1 Numbers"/>
    <w:uiPriority w:val="49"/>
    <w:unhideWhenUsed/>
    <w:rsid w:val="00D4762C"/>
    <w:pPr>
      <w:numPr>
        <w:ilvl w:val="1"/>
        <w:numId w:val="3"/>
      </w:numPr>
      <w:spacing w:after="120"/>
    </w:pPr>
    <w:rPr>
      <w:rFonts w:ascii="Times New Roman" w:hAnsi="Times New Roman"/>
      <w:szCs w:val="22"/>
    </w:rPr>
  </w:style>
  <w:style w:type="paragraph" w:customStyle="1" w:styleId="HB44Level2Letters">
    <w:name w:val="HB 44 Level 2 Letters"/>
    <w:uiPriority w:val="49"/>
    <w:unhideWhenUsed/>
    <w:rsid w:val="00D4762C"/>
    <w:pPr>
      <w:numPr>
        <w:numId w:val="4"/>
      </w:numPr>
      <w:spacing w:after="120"/>
    </w:pPr>
    <w:rPr>
      <w:rFonts w:ascii="Times New Roman" w:hAnsi="Times New Roman"/>
      <w:szCs w:val="22"/>
    </w:rPr>
  </w:style>
  <w:style w:type="paragraph" w:customStyle="1" w:styleId="I-bulletedlist">
    <w:name w:val="I - bulleted list"/>
    <w:basedOn w:val="bulletedlist"/>
    <w:uiPriority w:val="49"/>
    <w:unhideWhenUsed/>
    <w:rsid w:val="00800405"/>
    <w:pPr>
      <w:numPr>
        <w:numId w:val="0"/>
      </w:numPr>
    </w:pPr>
  </w:style>
  <w:style w:type="paragraph" w:customStyle="1" w:styleId="I-bulletedlist1indent">
    <w:name w:val="I - bulleted list 1 indent"/>
    <w:basedOn w:val="I-bulletedlist"/>
    <w:uiPriority w:val="49"/>
    <w:unhideWhenUsed/>
    <w:rsid w:val="00800405"/>
  </w:style>
  <w:style w:type="paragraph" w:customStyle="1" w:styleId="I-Normal-bold">
    <w:name w:val="I - Normal- bold"/>
    <w:basedOn w:val="Normal"/>
    <w:uiPriority w:val="49"/>
    <w:unhideWhenUsed/>
    <w:rsid w:val="00800405"/>
    <w:pPr>
      <w:ind w:left="360"/>
    </w:pPr>
    <w:rPr>
      <w:b/>
    </w:rPr>
  </w:style>
  <w:style w:type="paragraph" w:customStyle="1" w:styleId="I-LetterAreg">
    <w:name w:val="I - Letter A reg"/>
    <w:basedOn w:val="I-Normal-bold"/>
    <w:uiPriority w:val="49"/>
    <w:unhideWhenUsed/>
    <w:rsid w:val="0095754B"/>
    <w:pPr>
      <w:numPr>
        <w:numId w:val="8"/>
      </w:numPr>
    </w:pPr>
    <w:rPr>
      <w:b w:val="0"/>
    </w:rPr>
  </w:style>
  <w:style w:type="paragraph" w:customStyle="1" w:styleId="I-LetterAbold">
    <w:name w:val="I - Letter A bold"/>
    <w:basedOn w:val="I-LetterAreg"/>
    <w:uiPriority w:val="49"/>
    <w:unhideWhenUsed/>
    <w:rsid w:val="00800405"/>
    <w:rPr>
      <w:b/>
    </w:rPr>
  </w:style>
  <w:style w:type="paragraph" w:customStyle="1" w:styleId="I-LetterAIndent1">
    <w:name w:val="I - Letter A Indent 1"/>
    <w:basedOn w:val="Normal"/>
    <w:uiPriority w:val="49"/>
    <w:unhideWhenUsed/>
    <w:rsid w:val="00800405"/>
    <w:pPr>
      <w:ind w:left="1350" w:hanging="360"/>
    </w:pPr>
  </w:style>
  <w:style w:type="paragraph" w:customStyle="1" w:styleId="I-Normalreg">
    <w:name w:val="I - Normal reg"/>
    <w:basedOn w:val="I-Normal-bold"/>
    <w:unhideWhenUsed/>
    <w:qFormat/>
    <w:rsid w:val="00800405"/>
    <w:rPr>
      <w:b w:val="0"/>
    </w:rPr>
  </w:style>
  <w:style w:type="paragraph" w:customStyle="1" w:styleId="I-Normal1indent">
    <w:name w:val="I - Normal 1 indent"/>
    <w:basedOn w:val="I-Normalreg"/>
    <w:unhideWhenUsed/>
    <w:qFormat/>
    <w:rsid w:val="00800405"/>
    <w:pPr>
      <w:ind w:left="720"/>
    </w:pPr>
  </w:style>
  <w:style w:type="paragraph" w:customStyle="1" w:styleId="I-Normal2indent">
    <w:name w:val="I - Normal 2 indent"/>
    <w:basedOn w:val="I-Normal1indent"/>
    <w:unhideWhenUsed/>
    <w:qFormat/>
    <w:rsid w:val="00800405"/>
    <w:pPr>
      <w:ind w:left="1350"/>
    </w:pPr>
  </w:style>
  <w:style w:type="paragraph" w:customStyle="1" w:styleId="I-Normal3indent">
    <w:name w:val="I - Normal 3 indent"/>
    <w:basedOn w:val="I-Normal2indent"/>
    <w:uiPriority w:val="49"/>
    <w:unhideWhenUsed/>
    <w:rsid w:val="00800405"/>
    <w:pPr>
      <w:ind w:left="2340"/>
    </w:pPr>
    <w:rPr>
      <w:b/>
      <w:u w:val="single"/>
    </w:rPr>
  </w:style>
  <w:style w:type="paragraph" w:customStyle="1" w:styleId="I-numbers">
    <w:name w:val="I - numbers"/>
    <w:basedOn w:val="Normal"/>
    <w:autoRedefine/>
    <w:uiPriority w:val="49"/>
    <w:unhideWhenUsed/>
    <w:rsid w:val="00996C04"/>
    <w:pPr>
      <w:spacing w:after="120"/>
    </w:pPr>
  </w:style>
  <w:style w:type="paragraph" w:customStyle="1" w:styleId="I-s">
    <w:name w:val="I - #s"/>
    <w:basedOn w:val="I-Normal2indent"/>
    <w:uiPriority w:val="49"/>
    <w:unhideWhenUsed/>
    <w:rsid w:val="00142F65"/>
    <w:pPr>
      <w:numPr>
        <w:numId w:val="6"/>
      </w:numPr>
    </w:pPr>
  </w:style>
  <w:style w:type="paragraph" w:customStyle="1" w:styleId="I-noindent">
    <w:name w:val="I - no# indent"/>
    <w:basedOn w:val="I-Normal1indent"/>
    <w:autoRedefine/>
    <w:uiPriority w:val="49"/>
    <w:unhideWhenUsed/>
    <w:rsid w:val="00594898"/>
    <w:pPr>
      <w:ind w:left="1440"/>
    </w:pPr>
  </w:style>
  <w:style w:type="paragraph" w:customStyle="1" w:styleId="I-iis">
    <w:name w:val="I - ii's"/>
    <w:basedOn w:val="I-s"/>
    <w:uiPriority w:val="49"/>
    <w:unhideWhenUsed/>
    <w:rsid w:val="007D3C51"/>
    <w:pPr>
      <w:numPr>
        <w:numId w:val="7"/>
      </w:numPr>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uiPriority w:val="39"/>
    <w:unhideWhenUsed/>
    <w:rsid w:val="00A0445E"/>
    <w:pPr>
      <w:spacing w:after="0"/>
    </w:pPr>
    <w:rPr>
      <w:rFonts w:eastAsia="MS Mincho"/>
    </w:rPr>
  </w:style>
  <w:style w:type="paragraph" w:customStyle="1" w:styleId="Before3pt">
    <w:name w:val="Before: 3 pt"/>
    <w:aliases w:val="After 3 pt"/>
    <w:basedOn w:val="Normal"/>
    <w:uiPriority w:val="99"/>
    <w:unhideWhenUsed/>
    <w:rsid w:val="00F95A5C"/>
    <w:pPr>
      <w:tabs>
        <w:tab w:val="left" w:pos="288"/>
      </w:tabs>
      <w:spacing w:before="60" w:after="0"/>
      <w:jc w:val="center"/>
    </w:pPr>
    <w:rPr>
      <w:rFonts w:eastAsia="Times New Roman"/>
      <w:b/>
    </w:rPr>
  </w:style>
  <w:style w:type="paragraph" w:customStyle="1" w:styleId="After3pt">
    <w:name w:val="After: 3 pt"/>
    <w:basedOn w:val="Normal"/>
    <w:uiPriority w:val="99"/>
    <w:unhideWhenUsed/>
    <w:rsid w:val="00F95A5C"/>
    <w:pPr>
      <w:tabs>
        <w:tab w:val="left" w:pos="288"/>
      </w:tabs>
      <w:spacing w:after="60"/>
      <w:jc w:val="center"/>
    </w:pPr>
    <w:rPr>
      <w:rFonts w:eastAsia="Times New Roman"/>
      <w:b/>
    </w:rPr>
  </w:style>
  <w:style w:type="paragraph" w:styleId="Title">
    <w:name w:val="Title"/>
    <w:basedOn w:val="Normal"/>
    <w:link w:val="TitleChar"/>
    <w:unhideWhenUsed/>
    <w:qFormat/>
    <w:rsid w:val="00FD29CF"/>
    <w:pPr>
      <w:spacing w:after="0"/>
      <w:jc w:val="center"/>
    </w:pPr>
    <w:rPr>
      <w:rFonts w:eastAsia="Times New Roman"/>
      <w:b/>
      <w:bCs/>
      <w:sz w:val="28"/>
      <w:szCs w:val="24"/>
    </w:rPr>
  </w:style>
  <w:style w:type="character" w:customStyle="1" w:styleId="TitleChar">
    <w:name w:val="Title Char"/>
    <w:link w:val="Title"/>
    <w:uiPriority w:val="39"/>
    <w:rsid w:val="005877F0"/>
    <w:rPr>
      <w:rFonts w:ascii="Times New Roman" w:eastAsia="Times New Roman" w:hAnsi="Times New Roman"/>
      <w:b/>
      <w:bCs/>
      <w:sz w:val="28"/>
      <w:szCs w:val="24"/>
    </w:rPr>
  </w:style>
  <w:style w:type="character" w:customStyle="1" w:styleId="Heading6Char">
    <w:name w:val="Heading 6 Char"/>
    <w:link w:val="Heading6"/>
    <w:uiPriority w:val="99"/>
    <w:rsid w:val="005877F0"/>
    <w:rPr>
      <w:rFonts w:ascii="Cambria" w:eastAsia="Times New Roman" w:hAnsi="Cambria"/>
      <w:i/>
      <w:iCs/>
      <w:color w:val="243F6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A7203B"/>
    <w:rPr>
      <w:rFonts w:ascii="Times New Roman" w:hAnsi="Times New Roman"/>
    </w:rPr>
  </w:style>
  <w:style w:type="character" w:styleId="FollowedHyperlink">
    <w:name w:val="FollowedHyperlink"/>
    <w:uiPriority w:val="99"/>
    <w:unhideWhenUsed/>
    <w:rsid w:val="005952F5"/>
    <w:rPr>
      <w:color w:val="auto"/>
      <w:u w:val="none"/>
    </w:rPr>
  </w:style>
  <w:style w:type="paragraph" w:styleId="NoSpacing">
    <w:name w:val="No Spacing"/>
    <w:uiPriority w:val="4"/>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A7203B"/>
    <w:rPr>
      <w:rFonts w:ascii="Times New Roman" w:hAnsi="Times New Roman"/>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unhideWhenUsed/>
    <w:rsid w:val="00823011"/>
    <w:pPr>
      <w:keepNext/>
      <w:keepLines/>
      <w:autoSpaceDE w:val="0"/>
      <w:autoSpaceDN w:val="0"/>
      <w:adjustRightInd w:val="0"/>
      <w:spacing w:after="240"/>
      <w:ind w:left="360"/>
      <w:jc w:val="both"/>
    </w:pPr>
    <w:rPr>
      <w:rFonts w:ascii="Times New Roman" w:hAnsi="Times New Roman"/>
      <w:b/>
      <w:bCs/>
      <w:color w:val="000000"/>
      <w:u w:val="single"/>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A7203B"/>
    <w:rPr>
      <w:rFonts w:ascii="Times New Roman" w:hAnsi="Times New Roman"/>
    </w:rPr>
  </w:style>
  <w:style w:type="paragraph" w:customStyle="1" w:styleId="1italics">
    <w:name w:val="(1) italics"/>
    <w:basedOn w:val="ListParagraph"/>
    <w:link w:val="1italicsChar"/>
    <w:uiPriority w:val="99"/>
    <w:unhideWhenUsed/>
    <w:rsid w:val="00233D94"/>
    <w:pPr>
      <w:numPr>
        <w:numId w:val="10"/>
      </w:numPr>
      <w:spacing w:after="0"/>
      <w:contextualSpacing w:val="0"/>
    </w:pPr>
    <w:rPr>
      <w:rFonts w:eastAsia="Times New Roman"/>
      <w:i/>
      <w:iCs/>
      <w:sz w:val="22"/>
      <w:lang w:bidi="en-US"/>
    </w:rPr>
  </w:style>
  <w:style w:type="paragraph" w:customStyle="1" w:styleId="1reg">
    <w:name w:val="(1) reg"/>
    <w:basedOn w:val="Normal"/>
    <w:link w:val="1regChar"/>
    <w:uiPriority w:val="99"/>
    <w:unhideWhenUsed/>
    <w:rsid w:val="00233D94"/>
    <w:pPr>
      <w:spacing w:after="60"/>
      <w:ind w:left="2160" w:hanging="360"/>
    </w:pPr>
    <w:rPr>
      <w:rFonts w:eastAsia="Times New Roman"/>
    </w:rPr>
  </w:style>
  <w:style w:type="character" w:customStyle="1" w:styleId="1italicsChar">
    <w:name w:val="(1) italics Char"/>
    <w:link w:val="1italics"/>
    <w:uiPriority w:val="99"/>
    <w:rsid w:val="00AF2A25"/>
    <w:rPr>
      <w:rFonts w:ascii="Times New Roman" w:eastAsia="Times New Roman" w:hAnsi="Times New Roman"/>
      <w:i/>
      <w:iCs/>
      <w:sz w:val="22"/>
      <w:lang w:bidi="en-US"/>
    </w:rPr>
  </w:style>
  <w:style w:type="character" w:customStyle="1" w:styleId="1regChar">
    <w:name w:val="(1) reg Char"/>
    <w:link w:val="1reg"/>
    <w:uiPriority w:val="99"/>
    <w:rsid w:val="00AF2A25"/>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uiPriority w:val="99"/>
    <w:rsid w:val="00A7203B"/>
    <w:rPr>
      <w:rFonts w:ascii="Times New Roman" w:eastAsia="Times New Roman" w:hAnsi="Times New Roman"/>
      <w:b/>
      <w:bCs/>
      <w:i/>
      <w:iCs/>
      <w:sz w:val="26"/>
      <w:szCs w:val="26"/>
    </w:rPr>
  </w:style>
  <w:style w:type="character" w:customStyle="1" w:styleId="Heading7Char">
    <w:name w:val="Heading 7 Char"/>
    <w:link w:val="Heading7"/>
    <w:uiPriority w:val="99"/>
    <w:rsid w:val="005877F0"/>
    <w:rPr>
      <w:rFonts w:ascii="Times New Roman" w:eastAsia="Times New Roman" w:hAnsi="Times New Roman"/>
      <w:sz w:val="24"/>
      <w:szCs w:val="24"/>
    </w:rPr>
  </w:style>
  <w:style w:type="character" w:customStyle="1" w:styleId="Heading8Char">
    <w:name w:val="Heading 8 Char"/>
    <w:link w:val="Heading8"/>
    <w:uiPriority w:val="99"/>
    <w:rsid w:val="005877F0"/>
    <w:rPr>
      <w:rFonts w:ascii="Times New Roman" w:eastAsia="Times New Roman" w:hAnsi="Times New Roman"/>
      <w:i/>
      <w:iCs/>
      <w:sz w:val="24"/>
      <w:szCs w:val="24"/>
    </w:rPr>
  </w:style>
  <w:style w:type="character" w:customStyle="1" w:styleId="Heading9Char">
    <w:name w:val="Heading 9 Char"/>
    <w:link w:val="Heading9"/>
    <w:uiPriority w:val="99"/>
    <w:rsid w:val="005877F0"/>
    <w:rPr>
      <w:rFonts w:ascii="Arial" w:eastAsia="Times New Roman" w:hAnsi="Arial" w:cs="Arial"/>
      <w:sz w:val="22"/>
    </w:rPr>
  </w:style>
  <w:style w:type="character" w:styleId="PageNumber">
    <w:name w:val="page number"/>
    <w:uiPriority w:val="99"/>
    <w:unhideWhenUsed/>
    <w:rsid w:val="00E76413"/>
  </w:style>
  <w:style w:type="paragraph" w:styleId="Subtitle">
    <w:name w:val="Subtitle"/>
    <w:basedOn w:val="Normal"/>
    <w:link w:val="SubtitleChar"/>
    <w:unhideWhenUsed/>
    <w:qFormat/>
    <w:rsid w:val="00E76413"/>
    <w:pPr>
      <w:spacing w:after="0"/>
      <w:jc w:val="center"/>
    </w:pPr>
    <w:rPr>
      <w:rFonts w:eastAsia="Times New Roman"/>
      <w:b/>
      <w:bCs/>
      <w:sz w:val="24"/>
      <w:szCs w:val="24"/>
    </w:rPr>
  </w:style>
  <w:style w:type="character" w:customStyle="1" w:styleId="SubtitleChar">
    <w:name w:val="Subtitle Char"/>
    <w:link w:val="Subtitle"/>
    <w:rsid w:val="005877F0"/>
    <w:rPr>
      <w:rFonts w:ascii="Times New Roman" w:eastAsia="Times New Roman" w:hAnsi="Times New Roman"/>
      <w:b/>
      <w:bCs/>
      <w:sz w:val="24"/>
      <w:szCs w:val="24"/>
    </w:rPr>
  </w:style>
  <w:style w:type="paragraph" w:styleId="TOC5">
    <w:name w:val="toc 5"/>
    <w:basedOn w:val="Normal"/>
    <w:next w:val="Normal"/>
    <w:autoRedefine/>
    <w:uiPriority w:val="39"/>
    <w:unhideWhenUsed/>
    <w:rsid w:val="000E6709"/>
    <w:pPr>
      <w:tabs>
        <w:tab w:val="left" w:pos="1296"/>
        <w:tab w:val="right" w:leader="dot" w:pos="9346"/>
      </w:tabs>
      <w:spacing w:before="60" w:after="60" w:line="276" w:lineRule="auto"/>
      <w:ind w:left="864" w:hanging="432"/>
      <w:jc w:val="left"/>
    </w:pPr>
    <w:rPr>
      <w:rFonts w:eastAsia="Times New Roman"/>
    </w:rPr>
  </w:style>
  <w:style w:type="paragraph" w:styleId="TOC6">
    <w:name w:val="toc 6"/>
    <w:basedOn w:val="Normal"/>
    <w:next w:val="Normal"/>
    <w:autoRedefine/>
    <w:uiPriority w:val="39"/>
    <w:unhideWhenUsed/>
    <w:rsid w:val="00F21B9C"/>
    <w:pPr>
      <w:tabs>
        <w:tab w:val="left" w:pos="1555"/>
        <w:tab w:val="right" w:leader="dot" w:pos="9360"/>
      </w:tabs>
      <w:spacing w:before="60" w:after="60"/>
      <w:ind w:left="1728" w:hanging="864"/>
      <w:jc w:val="left"/>
    </w:pPr>
    <w:rPr>
      <w:rFonts w:eastAsia="Times New Roman"/>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unhideWhenUsed/>
    <w:rsid w:val="00E76413"/>
    <w:pPr>
      <w:spacing w:after="120"/>
      <w:jc w:val="left"/>
    </w:pPr>
    <w:rPr>
      <w:rFonts w:eastAsia="Times New Roman"/>
      <w:sz w:val="16"/>
      <w:szCs w:val="16"/>
    </w:rPr>
  </w:style>
  <w:style w:type="character" w:customStyle="1" w:styleId="BodyText3Char">
    <w:name w:val="Body Text 3 Char"/>
    <w:link w:val="BodyText3"/>
    <w:rsid w:val="00A7203B"/>
    <w:rPr>
      <w:rFonts w:ascii="Times New Roman" w:eastAsia="Times New Roman" w:hAnsi="Times New Roman"/>
      <w:sz w:val="16"/>
      <w:szCs w:val="16"/>
    </w:rPr>
  </w:style>
  <w:style w:type="paragraph" w:styleId="BlockText">
    <w:name w:val="Block Text"/>
    <w:basedOn w:val="Normal"/>
    <w:uiPriority w:val="99"/>
    <w:unhideWhenUsed/>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uiPriority w:val="99"/>
    <w:unhideWhenUsed/>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AF2A25"/>
    <w:rPr>
      <w:rFonts w:ascii="Tahoma" w:eastAsia="Times New Roman" w:hAnsi="Tahoma" w:cs="Tahoma"/>
      <w:shd w:val="clear" w:color="auto" w:fill="000080"/>
    </w:rPr>
  </w:style>
  <w:style w:type="paragraph" w:customStyle="1" w:styleId="Head1-forTOC">
    <w:name w:val="Head 1 - for TOC"/>
    <w:basedOn w:val="Heading1"/>
    <w:uiPriority w:val="99"/>
    <w:unhideWhenUsed/>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unhideWhenUsed/>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A94FAB"/>
    <w:pPr>
      <w:spacing w:after="0"/>
      <w:jc w:val="center"/>
    </w:pPr>
    <w:rPr>
      <w:rFonts w:eastAsia="MS Mincho"/>
      <w:b/>
      <w:sz w:val="28"/>
      <w:szCs w:val="28"/>
    </w:rPr>
  </w:style>
  <w:style w:type="paragraph" w:customStyle="1" w:styleId="Heading2HO">
    <w:name w:val="Heading 2 HO"/>
    <w:basedOn w:val="Normal"/>
    <w:uiPriority w:val="9"/>
    <w:unhideWhenUsed/>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unhideWhenUsed/>
    <w:rsid w:val="00AA77CD"/>
    <w:pPr>
      <w:spacing w:after="120"/>
      <w:ind w:left="504"/>
      <w:jc w:val="both"/>
    </w:pPr>
    <w:rPr>
      <w:rFonts w:ascii="Times New Roman" w:hAnsi="Times New Roman"/>
      <w:szCs w:val="22"/>
    </w:rPr>
  </w:style>
  <w:style w:type="paragraph" w:customStyle="1" w:styleId="Quick1">
    <w:name w:val="Quick 1."/>
    <w:uiPriority w:val="39"/>
    <w:unhideWhenUsed/>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uiPriority w:val="99"/>
    <w:semiHidden/>
    <w:rsid w:val="00B94138"/>
    <w:pPr>
      <w:spacing w:after="0"/>
      <w:ind w:left="600" w:hanging="200"/>
      <w:jc w:val="left"/>
    </w:pPr>
    <w:rPr>
      <w:rFonts w:eastAsia="Times New Roman"/>
      <w:sz w:val="18"/>
      <w:szCs w:val="18"/>
    </w:rPr>
  </w:style>
  <w:style w:type="paragraph" w:styleId="Index4">
    <w:name w:val="index 4"/>
    <w:basedOn w:val="Normal"/>
    <w:next w:val="Normal"/>
    <w:autoRedefine/>
    <w:uiPriority w:val="99"/>
    <w:semiHidden/>
    <w:rsid w:val="00B94138"/>
    <w:pPr>
      <w:spacing w:after="0"/>
      <w:ind w:left="800" w:hanging="200"/>
      <w:jc w:val="left"/>
    </w:pPr>
    <w:rPr>
      <w:rFonts w:eastAsia="Times New Roman"/>
      <w:sz w:val="18"/>
      <w:szCs w:val="18"/>
    </w:rPr>
  </w:style>
  <w:style w:type="paragraph" w:styleId="Index5">
    <w:name w:val="index 5"/>
    <w:basedOn w:val="Normal"/>
    <w:next w:val="Normal"/>
    <w:autoRedefine/>
    <w:uiPriority w:val="99"/>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uiPriority w:val="99"/>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uiPriority w:val="99"/>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uiPriority w:val="99"/>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uiPriority w:val="99"/>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uiPriority w:val="99"/>
    <w:semiHidden/>
    <w:rsid w:val="00B94138"/>
    <w:pPr>
      <w:spacing w:before="240" w:after="120"/>
      <w:jc w:val="center"/>
    </w:pPr>
    <w:rPr>
      <w:rFonts w:eastAsia="Times New Roman"/>
      <w:b/>
      <w:bCs/>
      <w:sz w:val="26"/>
      <w:szCs w:val="26"/>
    </w:rPr>
  </w:style>
  <w:style w:type="paragraph" w:customStyle="1" w:styleId="HTMLBody">
    <w:name w:val="HTML Body"/>
    <w:uiPriority w:val="99"/>
    <w:unhideWhenUsed/>
    <w:rsid w:val="00B94138"/>
    <w:pPr>
      <w:autoSpaceDE w:val="0"/>
      <w:autoSpaceDN w:val="0"/>
      <w:adjustRightInd w:val="0"/>
    </w:pPr>
    <w:rPr>
      <w:rFonts w:ascii="Arial" w:eastAsia="Times New Roman" w:hAnsi="Arial"/>
    </w:rPr>
  </w:style>
  <w:style w:type="paragraph" w:customStyle="1" w:styleId="changecharacter">
    <w:name w:val="change character"/>
    <w:basedOn w:val="Normal"/>
    <w:uiPriority w:val="39"/>
    <w:unhideWhenUsed/>
    <w:rsid w:val="00B94138"/>
    <w:pPr>
      <w:tabs>
        <w:tab w:val="left" w:pos="288"/>
      </w:tabs>
      <w:spacing w:after="0"/>
      <w:jc w:val="left"/>
    </w:pPr>
    <w:rPr>
      <w:rFonts w:eastAsia="Times New Roman"/>
      <w:sz w:val="22"/>
    </w:rPr>
  </w:style>
  <w:style w:type="paragraph" w:customStyle="1" w:styleId="changecharacter2">
    <w:name w:val="change character 2"/>
    <w:basedOn w:val="Title"/>
    <w:uiPriority w:val="39"/>
    <w:unhideWhenUsed/>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E57A0C"/>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8E5771"/>
    <w:pPr>
      <w:keepNext/>
      <w:spacing w:after="360" w:line="240" w:lineRule="auto"/>
    </w:pPr>
  </w:style>
  <w:style w:type="character" w:customStyle="1" w:styleId="IndexHeadingChar">
    <w:name w:val="Index Heading Char"/>
    <w:link w:val="IndexHeading"/>
    <w:uiPriority w:val="99"/>
    <w:semiHidden/>
    <w:rsid w:val="00A7203B"/>
    <w:rPr>
      <w:rFonts w:ascii="Times New Roman" w:eastAsia="Times New Roman" w:hAnsi="Times New Roman"/>
      <w:b/>
      <w:bCs/>
      <w:sz w:val="26"/>
      <w:szCs w:val="26"/>
    </w:rPr>
  </w:style>
  <w:style w:type="character" w:customStyle="1" w:styleId="AppendixChar">
    <w:name w:val="Appendix Char"/>
    <w:link w:val="Appendix"/>
    <w:uiPriority w:val="29"/>
    <w:semiHidden/>
    <w:rsid w:val="00AF2A25"/>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F83210"/>
    <w:pPr>
      <w:ind w:left="360"/>
      <w:jc w:val="both"/>
    </w:pPr>
    <w:rPr>
      <w:bCs/>
      <w:i w:val="0"/>
      <w:sz w:val="20"/>
    </w:rPr>
  </w:style>
  <w:style w:type="character" w:customStyle="1" w:styleId="HeadingSectionChar">
    <w:name w:val="Heading Section Char"/>
    <w:link w:val="HeadingSection"/>
    <w:uiPriority w:val="39"/>
    <w:semiHidden/>
    <w:rsid w:val="005877F0"/>
    <w:rPr>
      <w:rFonts w:ascii="Times New Roman" w:hAnsi="Times New Roman"/>
      <w:b/>
      <w:sz w:val="28"/>
      <w:szCs w:val="22"/>
    </w:rPr>
  </w:style>
  <w:style w:type="character" w:customStyle="1" w:styleId="AppendixHeadingChar">
    <w:name w:val="Appendix Heading Char"/>
    <w:link w:val="AppendixHeading"/>
    <w:uiPriority w:val="9"/>
    <w:rsid w:val="00A7203B"/>
    <w:rPr>
      <w:rFonts w:ascii="Times New Roman" w:hAnsi="Times New Roman"/>
      <w:b/>
      <w:sz w:val="28"/>
      <w:szCs w:val="22"/>
    </w:rPr>
  </w:style>
  <w:style w:type="character" w:customStyle="1" w:styleId="Appendix2Char">
    <w:name w:val="Appendix2 Char"/>
    <w:link w:val="Appendix2"/>
    <w:uiPriority w:val="9"/>
    <w:rsid w:val="00A7203B"/>
    <w:rPr>
      <w:rFonts w:ascii="Times New Roman" w:hAnsi="Times New Roman"/>
      <w:b/>
      <w:sz w:val="28"/>
      <w:szCs w:val="22"/>
    </w:rPr>
  </w:style>
  <w:style w:type="character" w:customStyle="1" w:styleId="UniformLevel3Char">
    <w:name w:val="UniformLevel3 Char"/>
    <w:link w:val="UniformLevel3"/>
    <w:uiPriority w:val="99"/>
    <w:locked/>
    <w:rsid w:val="00A7203B"/>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uiPriority w:val="19"/>
    <w:unhideWhenUsed/>
    <w:rsid w:val="00EC4679"/>
    <w:pPr>
      <w:spacing w:after="0"/>
      <w:jc w:val="right"/>
    </w:pPr>
    <w:rPr>
      <w:rFonts w:ascii="Tahoma" w:eastAsia="Times New Roman" w:hAnsi="Tahoma"/>
      <w:szCs w:val="24"/>
    </w:rPr>
  </w:style>
  <w:style w:type="character" w:styleId="Emphasis">
    <w:name w:val="Emphasis"/>
    <w:uiPriority w:val="1"/>
    <w:unhideWhenUsed/>
    <w:qFormat/>
    <w:rsid w:val="00EC4679"/>
    <w:rPr>
      <w:i/>
      <w:iCs/>
    </w:rPr>
  </w:style>
  <w:style w:type="paragraph" w:customStyle="1" w:styleId="TableParagraph">
    <w:name w:val="Table Paragraph"/>
    <w:basedOn w:val="Normal"/>
    <w:uiPriority w:val="99"/>
    <w:semiHidden/>
    <w:unhideWhenUsed/>
    <w:qFormat/>
    <w:rsid w:val="00EC4679"/>
    <w:pPr>
      <w:autoSpaceDE w:val="0"/>
      <w:autoSpaceDN w:val="0"/>
      <w:adjustRightInd w:val="0"/>
      <w:spacing w:after="0"/>
      <w:jc w:val="left"/>
    </w:pPr>
    <w:rPr>
      <w:sz w:val="24"/>
      <w:szCs w:val="24"/>
    </w:rPr>
  </w:style>
  <w:style w:type="character" w:styleId="LineNumber">
    <w:name w:val="line number"/>
    <w:semiHidden/>
    <w:unhideWhenUsed/>
    <w:rsid w:val="00E66699"/>
  </w:style>
  <w:style w:type="paragraph" w:customStyle="1" w:styleId="BulletedIndent">
    <w:name w:val="Bulleted Indent"/>
    <w:basedOn w:val="Normal"/>
    <w:uiPriority w:val="39"/>
    <w:unhideWhenUsed/>
    <w:rsid w:val="000F3435"/>
    <w:pPr>
      <w:ind w:left="720"/>
    </w:pPr>
    <w:rPr>
      <w:szCs w:val="22"/>
    </w:rPr>
  </w:style>
  <w:style w:type="paragraph" w:customStyle="1" w:styleId="yiv5882338707msolistparagraph">
    <w:name w:val="yiv5882338707msolistparagraph"/>
    <w:basedOn w:val="Normal"/>
    <w:uiPriority w:val="99"/>
    <w:unhideWhenUsed/>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uiPriority w:val="99"/>
    <w:unhideWhenUsed/>
    <w:rsid w:val="00CD1E6E"/>
    <w:pPr>
      <w:spacing w:before="100" w:beforeAutospacing="1" w:after="100" w:afterAutospacing="1"/>
      <w:jc w:val="left"/>
    </w:pPr>
    <w:rPr>
      <w:rFonts w:eastAsia="Times New Roman"/>
      <w:sz w:val="24"/>
      <w:szCs w:val="24"/>
    </w:rPr>
  </w:style>
  <w:style w:type="character" w:customStyle="1" w:styleId="normaltextrun">
    <w:name w:val="normaltextrun"/>
    <w:uiPriority w:val="99"/>
    <w:semiHidden/>
    <w:unhideWhenUsed/>
    <w:rsid w:val="00AE5CE4"/>
  </w:style>
  <w:style w:type="paragraph" w:customStyle="1" w:styleId="paragraph">
    <w:name w:val="paragraph"/>
    <w:basedOn w:val="Normal"/>
    <w:uiPriority w:val="99"/>
    <w:semiHidden/>
    <w:unhideWhenUsed/>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uiPriority w:val="99"/>
    <w:unhideWhenUsed/>
    <w:rsid w:val="008633A5"/>
    <w:pPr>
      <w:numPr>
        <w:numId w:val="25"/>
      </w:numPr>
      <w:tabs>
        <w:tab w:val="center" w:pos="5400"/>
        <w:tab w:val="right" w:pos="9360"/>
      </w:tabs>
      <w:spacing w:after="0"/>
    </w:pPr>
    <w:rPr>
      <w:rFonts w:eastAsiaTheme="minorHAnsi"/>
      <w:i/>
      <w:sz w:val="22"/>
      <w:szCs w:val="22"/>
    </w:rPr>
  </w:style>
  <w:style w:type="paragraph" w:customStyle="1" w:styleId="NCWMHeading2">
    <w:name w:val="NCWM Heading 2"/>
    <w:basedOn w:val="NCWMHeading1"/>
    <w:uiPriority w:val="9"/>
    <w:unhideWhenUsed/>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uiPriority w:val="9"/>
    <w:rsid w:val="00A7203B"/>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uiPriority w:val="99"/>
    <w:semiHidden/>
    <w:unhideWhenUsed/>
    <w:qFormat/>
    <w:rsid w:val="00693A3F"/>
    <w:pPr>
      <w:suppressLineNumbers/>
      <w:ind w:left="547"/>
    </w:pPr>
    <w:rPr>
      <w:color w:val="0000FF"/>
      <w:szCs w:val="22"/>
      <w:u w:val="single"/>
    </w:rPr>
  </w:style>
  <w:style w:type="character" w:customStyle="1" w:styleId="EmailWebChar">
    <w:name w:val="Email/Web Char"/>
    <w:basedOn w:val="DefaultParagraphFont"/>
    <w:link w:val="EmailWeb"/>
    <w:uiPriority w:val="99"/>
    <w:semiHidden/>
    <w:rsid w:val="00A7203B"/>
    <w:rPr>
      <w:rFonts w:ascii="Times New Roman" w:hAnsi="Times New Roman"/>
      <w:color w:val="0000FF"/>
      <w:szCs w:val="22"/>
      <w:u w:val="single"/>
    </w:rPr>
  </w:style>
  <w:style w:type="character" w:customStyle="1" w:styleId="ItemHeadingChar">
    <w:name w:val="Item Heading Char"/>
    <w:basedOn w:val="Heading2Char"/>
    <w:link w:val="ItemHeading"/>
    <w:rsid w:val="00A7203B"/>
    <w:rPr>
      <w:rFonts w:ascii="Times New Roman" w:eastAsia="Times New Roman" w:hAnsi="Times New Roman"/>
      <w:b/>
      <w:bCs/>
      <w:iCs/>
      <w:caps w:val="0"/>
      <w:sz w:val="22"/>
      <w:szCs w:val="26"/>
    </w:rPr>
  </w:style>
  <w:style w:type="paragraph" w:customStyle="1" w:styleId="Normal10pt">
    <w:name w:val="Normal_10pt"/>
    <w:basedOn w:val="Normal"/>
    <w:uiPriority w:val="99"/>
    <w:unhideWhenUsed/>
    <w:rsid w:val="00766DAA"/>
    <w:pPr>
      <w:spacing w:after="60"/>
    </w:pPr>
    <w:rPr>
      <w:rFonts w:eastAsia="Times New Roman"/>
      <w:szCs w:val="24"/>
    </w:rPr>
  </w:style>
  <w:style w:type="character" w:customStyle="1" w:styleId="Normal10ptChar">
    <w:name w:val="Normal_10pt Char"/>
    <w:basedOn w:val="DefaultParagraphFont"/>
    <w:uiPriority w:val="99"/>
    <w:unhideWhenUsed/>
    <w:rsid w:val="00766DAA"/>
    <w:rPr>
      <w:rFonts w:cs="Times New Roman"/>
      <w:sz w:val="24"/>
      <w:szCs w:val="24"/>
      <w:lang w:val="en-US" w:eastAsia="en-US" w:bidi="ar-SA"/>
    </w:rPr>
  </w:style>
  <w:style w:type="paragraph" w:customStyle="1" w:styleId="HeadingUR1">
    <w:name w:val="Heading UR.1."/>
    <w:basedOn w:val="Normal"/>
    <w:link w:val="HeadingUR1Char"/>
    <w:uiPriority w:val="39"/>
    <w:semiHidden/>
    <w:unhideWhenUsed/>
    <w:rsid w:val="00766DAA"/>
    <w:pPr>
      <w:tabs>
        <w:tab w:val="left" w:pos="720"/>
      </w:tabs>
      <w:spacing w:after="0"/>
    </w:pPr>
    <w:rPr>
      <w:b/>
    </w:rPr>
  </w:style>
  <w:style w:type="paragraph" w:customStyle="1" w:styleId="N15heading">
    <w:name w:val="N.1.5. heading"/>
    <w:basedOn w:val="Heading4"/>
    <w:uiPriority w:val="9"/>
    <w:unhideWhenUsed/>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uiPriority w:val="39"/>
    <w:semiHidden/>
    <w:rsid w:val="005877F0"/>
    <w:rPr>
      <w:rFonts w:ascii="Times New Roman" w:hAnsi="Times New Roman"/>
      <w:b/>
    </w:rPr>
  </w:style>
  <w:style w:type="character" w:customStyle="1" w:styleId="xtm81">
    <w:name w:val="x_tm81"/>
    <w:basedOn w:val="DefaultParagraphFont"/>
    <w:uiPriority w:val="99"/>
    <w:semiHidden/>
    <w:unhideWhenUsed/>
    <w:rsid w:val="004244DF"/>
  </w:style>
  <w:style w:type="character" w:customStyle="1" w:styleId="xtm91">
    <w:name w:val="x_tm91"/>
    <w:basedOn w:val="DefaultParagraphFont"/>
    <w:uiPriority w:val="99"/>
    <w:semiHidden/>
    <w:unhideWhenUsed/>
    <w:rsid w:val="004244DF"/>
  </w:style>
  <w:style w:type="character" w:customStyle="1" w:styleId="xtm71">
    <w:name w:val="x_tm71"/>
    <w:basedOn w:val="DefaultParagraphFont"/>
    <w:uiPriority w:val="99"/>
    <w:semiHidden/>
    <w:unhideWhenUsed/>
    <w:rsid w:val="004244DF"/>
  </w:style>
  <w:style w:type="character" w:customStyle="1" w:styleId="xtm101">
    <w:name w:val="x_tm101"/>
    <w:basedOn w:val="DefaultParagraphFont"/>
    <w:uiPriority w:val="99"/>
    <w:semiHidden/>
    <w:unhideWhenUsed/>
    <w:rsid w:val="004244DF"/>
  </w:style>
  <w:style w:type="paragraph" w:customStyle="1" w:styleId="TABLE-col-heading">
    <w:name w:val="TABLE-col-heading"/>
    <w:basedOn w:val="Normal"/>
    <w:unhideWhenUsed/>
    <w:rsid w:val="00D14057"/>
    <w:pPr>
      <w:spacing w:after="0" w:line="180" w:lineRule="exact"/>
      <w:ind w:left="-57" w:right="-57"/>
      <w:jc w:val="center"/>
    </w:pPr>
    <w:rPr>
      <w:rFonts w:ascii="Arial" w:eastAsia="Times New Roman" w:hAnsi="Arial" w:cs="Arial"/>
      <w:b/>
      <w:sz w:val="16"/>
      <w:szCs w:val="22"/>
      <w:lang w:val="en-GB" w:eastAsia="zh-CN"/>
    </w:rPr>
  </w:style>
  <w:style w:type="paragraph" w:customStyle="1" w:styleId="NormalJustified">
    <w:name w:val="Normal Justified"/>
    <w:basedOn w:val="Normal"/>
    <w:unhideWhenUsed/>
    <w:rsid w:val="00D14057"/>
    <w:pPr>
      <w:tabs>
        <w:tab w:val="left" w:pos="-720"/>
      </w:tabs>
      <w:suppressAutoHyphens/>
      <w:spacing w:after="120"/>
    </w:pPr>
    <w:rPr>
      <w:rFonts w:ascii="Arial" w:eastAsia="Times New Roman" w:hAnsi="Arial"/>
      <w:color w:val="000000"/>
      <w:spacing w:val="-2"/>
    </w:rPr>
  </w:style>
  <w:style w:type="paragraph" w:customStyle="1" w:styleId="Definition">
    <w:name w:val="Definition"/>
    <w:basedOn w:val="Normal"/>
    <w:unhideWhenUsed/>
    <w:qFormat/>
    <w:rsid w:val="00D14057"/>
    <w:pPr>
      <w:numPr>
        <w:ilvl w:val="1"/>
        <w:numId w:val="40"/>
      </w:numPr>
      <w:suppressAutoHyphens/>
      <w:spacing w:before="120" w:after="0"/>
    </w:pPr>
    <w:rPr>
      <w:rFonts w:ascii="Arial" w:eastAsia="Times New Roman" w:hAnsi="Arial"/>
      <w:spacing w:val="-2"/>
    </w:rPr>
  </w:style>
  <w:style w:type="paragraph" w:customStyle="1" w:styleId="Note">
    <w:name w:val="Note"/>
    <w:basedOn w:val="Normal"/>
    <w:next w:val="Normal"/>
    <w:unhideWhenUsed/>
    <w:qFormat/>
    <w:rsid w:val="00D14057"/>
    <w:pPr>
      <w:tabs>
        <w:tab w:val="left" w:pos="-720"/>
      </w:tabs>
      <w:suppressAutoHyphens/>
      <w:overflowPunct w:val="0"/>
      <w:autoSpaceDE w:val="0"/>
      <w:autoSpaceDN w:val="0"/>
      <w:adjustRightInd w:val="0"/>
      <w:spacing w:after="120"/>
      <w:textAlignment w:val="baseline"/>
    </w:pPr>
    <w:rPr>
      <w:rFonts w:ascii="Arial" w:eastAsia="Times New Roman" w:hAnsi="Arial"/>
      <w:color w:val="000000"/>
      <w:spacing w:val="-2"/>
      <w:sz w:val="18"/>
    </w:rPr>
  </w:style>
  <w:style w:type="paragraph" w:styleId="Caption">
    <w:name w:val="caption"/>
    <w:basedOn w:val="BodyText"/>
    <w:next w:val="Normal"/>
    <w:unhideWhenUsed/>
    <w:qFormat/>
    <w:rsid w:val="00D14057"/>
    <w:pPr>
      <w:tabs>
        <w:tab w:val="left" w:pos="360"/>
        <w:tab w:val="left" w:pos="720"/>
      </w:tabs>
      <w:overflowPunct w:val="0"/>
      <w:autoSpaceDE w:val="0"/>
      <w:autoSpaceDN w:val="0"/>
      <w:adjustRightInd w:val="0"/>
      <w:spacing w:before="120" w:after="120"/>
      <w:jc w:val="center"/>
      <w:textAlignment w:val="baseline"/>
    </w:pPr>
    <w:rPr>
      <w:rFonts w:ascii="Arial" w:eastAsia="Times New Roman" w:hAnsi="Arial"/>
      <w:i/>
    </w:rPr>
  </w:style>
  <w:style w:type="paragraph" w:customStyle="1" w:styleId="xmsonormal">
    <w:name w:val="x_msonormal"/>
    <w:basedOn w:val="Normal"/>
    <w:uiPriority w:val="99"/>
    <w:semiHidden/>
    <w:unhideWhenUsed/>
    <w:rsid w:val="00914F5D"/>
    <w:pPr>
      <w:spacing w:after="0"/>
      <w:jc w:val="left"/>
    </w:pPr>
    <w:rPr>
      <w:rFonts w:ascii="Calibri" w:eastAsiaTheme="minorEastAsia" w:hAnsi="Calibri" w:cs="Calibri"/>
      <w:lang w:eastAsia="ja-JP"/>
    </w:rPr>
  </w:style>
  <w:style w:type="paragraph" w:customStyle="1" w:styleId="OTHHeading1">
    <w:name w:val="OTH Heading 1"/>
    <w:next w:val="Normal"/>
    <w:link w:val="OTHHeading1Char"/>
    <w:uiPriority w:val="9"/>
    <w:rsid w:val="00FB1669"/>
    <w:pPr>
      <w:spacing w:after="240"/>
      <w:jc w:val="center"/>
    </w:pPr>
    <w:rPr>
      <w:rFonts w:ascii="Times New Roman Bold" w:eastAsia="Times New Roman" w:hAnsi="Times New Roman Bold"/>
      <w:b/>
      <w:bCs/>
      <w:sz w:val="22"/>
      <w:szCs w:val="28"/>
    </w:rPr>
  </w:style>
  <w:style w:type="paragraph" w:customStyle="1" w:styleId="OTHHeading2">
    <w:name w:val="OTH Heading 2"/>
    <w:next w:val="Normal"/>
    <w:link w:val="OTHHeading2Char"/>
    <w:uiPriority w:val="9"/>
    <w:qFormat/>
    <w:rsid w:val="0082024B"/>
    <w:pPr>
      <w:tabs>
        <w:tab w:val="left" w:pos="360"/>
      </w:tabs>
      <w:spacing w:after="240"/>
      <w:jc w:val="center"/>
    </w:pPr>
    <w:rPr>
      <w:rFonts w:ascii="Times New Roman Bold" w:eastAsia="Times New Roman" w:hAnsi="Times New Roman Bold"/>
      <w:b/>
      <w:sz w:val="22"/>
      <w:szCs w:val="26"/>
      <w:u w:val="single"/>
    </w:rPr>
  </w:style>
  <w:style w:type="character" w:customStyle="1" w:styleId="OTHHeading1Char">
    <w:name w:val="OTH Heading 1 Char"/>
    <w:basedOn w:val="Heading1Char"/>
    <w:link w:val="OTHHeading1"/>
    <w:uiPriority w:val="9"/>
    <w:rsid w:val="00FB1669"/>
    <w:rPr>
      <w:rFonts w:ascii="Times New Roman Bold" w:eastAsia="Times New Roman" w:hAnsi="Times New Roman Bold"/>
      <w:b/>
      <w:bCs/>
      <w:caps w:val="0"/>
      <w:sz w:val="22"/>
      <w:szCs w:val="28"/>
    </w:rPr>
  </w:style>
  <w:style w:type="paragraph" w:customStyle="1" w:styleId="OTHHeading3">
    <w:name w:val="OTH Heading 3"/>
    <w:basedOn w:val="Normal"/>
    <w:link w:val="OTHHeading3Char"/>
    <w:uiPriority w:val="9"/>
    <w:qFormat/>
    <w:rsid w:val="0082024B"/>
    <w:pPr>
      <w:tabs>
        <w:tab w:val="left" w:pos="540"/>
      </w:tabs>
    </w:pPr>
    <w:rPr>
      <w:rFonts w:ascii="Times New Roman Bold" w:hAnsi="Times New Roman Bold"/>
      <w:b/>
      <w:u w:val="single"/>
    </w:rPr>
  </w:style>
  <w:style w:type="character" w:customStyle="1" w:styleId="OTHHeading2Char">
    <w:name w:val="OTH Heading 2 Char"/>
    <w:basedOn w:val="Heading2Char"/>
    <w:link w:val="OTHHeading2"/>
    <w:uiPriority w:val="9"/>
    <w:rsid w:val="0082024B"/>
    <w:rPr>
      <w:rFonts w:ascii="Times New Roman Bold" w:eastAsia="Times New Roman" w:hAnsi="Times New Roman Bold"/>
      <w:b/>
      <w:caps w:val="0"/>
      <w:sz w:val="22"/>
      <w:szCs w:val="26"/>
      <w:u w:val="single"/>
    </w:rPr>
  </w:style>
  <w:style w:type="character" w:customStyle="1" w:styleId="OTHHeading3Char">
    <w:name w:val="OTH Heading 3 Char"/>
    <w:basedOn w:val="DefaultParagraphFont"/>
    <w:link w:val="OTHHeading3"/>
    <w:uiPriority w:val="9"/>
    <w:rsid w:val="0082024B"/>
    <w:rPr>
      <w:rFonts w:ascii="Times New Roman Bold" w:hAnsi="Times New Roman Bold"/>
      <w:b/>
      <w:u w:val="single"/>
    </w:rPr>
  </w:style>
  <w:style w:type="paragraph" w:customStyle="1" w:styleId="BulletedComment">
    <w:name w:val="Bulleted Comment"/>
    <w:basedOn w:val="ListParagraph"/>
    <w:link w:val="BulletedCommentChar"/>
    <w:uiPriority w:val="39"/>
    <w:unhideWhenUsed/>
    <w:rsid w:val="003E0661"/>
    <w:pPr>
      <w:numPr>
        <w:numId w:val="27"/>
      </w:numPr>
    </w:pPr>
  </w:style>
  <w:style w:type="character" w:customStyle="1" w:styleId="BulletedCommentChar">
    <w:name w:val="Bulleted Comment Char"/>
    <w:basedOn w:val="ListParagraphChar"/>
    <w:link w:val="BulletedComment"/>
    <w:uiPriority w:val="39"/>
    <w:rsid w:val="005877F0"/>
    <w:rPr>
      <w:rFonts w:ascii="Times New Roman" w:hAnsi="Times New Roman"/>
    </w:rPr>
  </w:style>
  <w:style w:type="character" w:customStyle="1" w:styleId="Underline">
    <w:name w:val="Underline"/>
    <w:basedOn w:val="DefaultParagraphFont"/>
    <w:uiPriority w:val="1"/>
    <w:qFormat/>
    <w:rsid w:val="003E1CCD"/>
    <w:rPr>
      <w:u w:val="single"/>
    </w:rPr>
  </w:style>
  <w:style w:type="character" w:customStyle="1" w:styleId="StrongUnderline">
    <w:name w:val="Strong Underline"/>
    <w:basedOn w:val="Strong"/>
    <w:uiPriority w:val="1"/>
    <w:qFormat/>
    <w:rsid w:val="00607692"/>
    <w:rPr>
      <w:b/>
      <w:bCs/>
      <w:u w:val="single"/>
    </w:rPr>
  </w:style>
  <w:style w:type="paragraph" w:styleId="NormalIndent">
    <w:name w:val="Normal Indent"/>
    <w:basedOn w:val="Normal"/>
    <w:link w:val="NormalIndentChar"/>
    <w:qFormat/>
    <w:rsid w:val="008A1B70"/>
    <w:pPr>
      <w:ind w:left="360"/>
    </w:pPr>
  </w:style>
  <w:style w:type="character" w:customStyle="1" w:styleId="StrongStrike">
    <w:name w:val="Strong Strike"/>
    <w:basedOn w:val="Strong"/>
    <w:uiPriority w:val="1"/>
    <w:qFormat/>
    <w:rsid w:val="002D6802"/>
    <w:rPr>
      <w:b/>
      <w:bCs/>
      <w:caps w:val="0"/>
      <w:smallCaps w:val="0"/>
      <w:strike/>
      <w:dstrike w:val="0"/>
      <w:vanish w:val="0"/>
      <w:vertAlign w:val="baseline"/>
    </w:rPr>
  </w:style>
  <w:style w:type="character" w:customStyle="1" w:styleId="Strike">
    <w:name w:val="Strike"/>
    <w:uiPriority w:val="1"/>
    <w:qFormat/>
    <w:rsid w:val="002D6802"/>
    <w:rPr>
      <w:strike/>
      <w:dstrike w:val="0"/>
    </w:rPr>
  </w:style>
  <w:style w:type="character" w:customStyle="1" w:styleId="EmphasisStrongUnder">
    <w:name w:val="Emphasis Strong Under"/>
    <w:basedOn w:val="Emphasis"/>
    <w:uiPriority w:val="1"/>
    <w:qFormat/>
    <w:rsid w:val="00A7203B"/>
    <w:rPr>
      <w:b/>
      <w:i/>
      <w:iCs/>
      <w:u w:val="single"/>
    </w:rPr>
  </w:style>
  <w:style w:type="paragraph" w:customStyle="1" w:styleId="NormalIndent2">
    <w:name w:val="Normal Indent 2"/>
    <w:basedOn w:val="NormalIndent"/>
    <w:qFormat/>
    <w:rsid w:val="00837332"/>
    <w:pPr>
      <w:ind w:left="720"/>
    </w:pPr>
  </w:style>
  <w:style w:type="paragraph" w:customStyle="1" w:styleId="NormalIndent3">
    <w:name w:val="Normal Indent 3"/>
    <w:basedOn w:val="NormalIndent2"/>
    <w:qFormat/>
    <w:rsid w:val="00837332"/>
    <w:pPr>
      <w:ind w:left="1080"/>
    </w:pPr>
  </w:style>
  <w:style w:type="paragraph" w:customStyle="1" w:styleId="CodeList1">
    <w:name w:val="Code List 1"/>
    <w:basedOn w:val="NormalIndent"/>
    <w:uiPriority w:val="3"/>
    <w:qFormat/>
    <w:rsid w:val="00B71DDC"/>
    <w:pPr>
      <w:tabs>
        <w:tab w:val="left" w:pos="720"/>
      </w:tabs>
      <w:spacing w:after="120"/>
      <w:ind w:left="720" w:hanging="360"/>
    </w:pPr>
  </w:style>
  <w:style w:type="paragraph" w:customStyle="1" w:styleId="CodeList2">
    <w:name w:val="Code List 2"/>
    <w:basedOn w:val="CodeList1"/>
    <w:uiPriority w:val="3"/>
    <w:qFormat/>
    <w:rsid w:val="00B71DDC"/>
    <w:pPr>
      <w:ind w:left="1080"/>
    </w:pPr>
  </w:style>
  <w:style w:type="paragraph" w:customStyle="1" w:styleId="CodeList3">
    <w:name w:val="Code List 3"/>
    <w:basedOn w:val="CodeList2"/>
    <w:uiPriority w:val="3"/>
    <w:qFormat/>
    <w:rsid w:val="00B71DDC"/>
    <w:pPr>
      <w:ind w:left="1440"/>
    </w:pPr>
  </w:style>
  <w:style w:type="paragraph" w:customStyle="1" w:styleId="3ptAfterIndent">
    <w:name w:val="3pt After Indent"/>
    <w:basedOn w:val="NormalIndent"/>
    <w:link w:val="3ptAfterIndentChar"/>
    <w:uiPriority w:val="2"/>
    <w:qFormat/>
    <w:rsid w:val="00B631F2"/>
    <w:pPr>
      <w:spacing w:after="60"/>
    </w:pPr>
  </w:style>
  <w:style w:type="paragraph" w:customStyle="1" w:styleId="3ptAfter">
    <w:name w:val="3pt After"/>
    <w:basedOn w:val="Normal"/>
    <w:link w:val="3ptAfterChar"/>
    <w:uiPriority w:val="2"/>
    <w:qFormat/>
    <w:rsid w:val="00B631F2"/>
    <w:pPr>
      <w:tabs>
        <w:tab w:val="left" w:pos="288"/>
      </w:tabs>
      <w:spacing w:after="60"/>
    </w:pPr>
    <w:rPr>
      <w:rFonts w:eastAsia="Times New Roman"/>
    </w:rPr>
  </w:style>
  <w:style w:type="character" w:customStyle="1" w:styleId="NormalIndentChar">
    <w:name w:val="Normal Indent Char"/>
    <w:basedOn w:val="DefaultParagraphFont"/>
    <w:link w:val="NormalIndent"/>
    <w:rsid w:val="00B631F2"/>
    <w:rPr>
      <w:rFonts w:ascii="Times New Roman" w:hAnsi="Times New Roman"/>
    </w:rPr>
  </w:style>
  <w:style w:type="character" w:customStyle="1" w:styleId="3ptAfterIndentChar">
    <w:name w:val="3pt After Indent Char"/>
    <w:basedOn w:val="NormalIndentChar"/>
    <w:link w:val="3ptAfterIndent"/>
    <w:uiPriority w:val="2"/>
    <w:rsid w:val="009B5DAF"/>
    <w:rPr>
      <w:rFonts w:ascii="Times New Roman" w:hAnsi="Times New Roman"/>
    </w:rPr>
  </w:style>
  <w:style w:type="paragraph" w:customStyle="1" w:styleId="3ptAfterIndent1">
    <w:name w:val="3pt After Indent 1"/>
    <w:basedOn w:val="Normal"/>
    <w:link w:val="3ptAfterIndent1Char"/>
    <w:uiPriority w:val="2"/>
    <w:qFormat/>
    <w:rsid w:val="006C5489"/>
    <w:pPr>
      <w:spacing w:after="60"/>
      <w:ind w:left="706"/>
    </w:pPr>
  </w:style>
  <w:style w:type="character" w:customStyle="1" w:styleId="3ptAfterChar">
    <w:name w:val="3pt After Char"/>
    <w:basedOn w:val="DefaultParagraphFont"/>
    <w:link w:val="3ptAfter"/>
    <w:uiPriority w:val="2"/>
    <w:rsid w:val="009B5DAF"/>
    <w:rPr>
      <w:rFonts w:ascii="Times New Roman" w:eastAsia="Times New Roman" w:hAnsi="Times New Roman"/>
    </w:rPr>
  </w:style>
  <w:style w:type="character" w:customStyle="1" w:styleId="3ptAfterIndent1Char">
    <w:name w:val="3pt After Indent 1 Char"/>
    <w:basedOn w:val="DefaultParagraphFont"/>
    <w:link w:val="3ptAfterIndent1"/>
    <w:uiPriority w:val="2"/>
    <w:rsid w:val="009B5DAF"/>
    <w:rPr>
      <w:rFonts w:ascii="Times New Roman" w:hAnsi="Times New Roman"/>
    </w:rPr>
  </w:style>
  <w:style w:type="numbering" w:customStyle="1" w:styleId="NoList1">
    <w:name w:val="No List1"/>
    <w:next w:val="NoList"/>
    <w:uiPriority w:val="99"/>
    <w:semiHidden/>
    <w:unhideWhenUsed/>
    <w:rsid w:val="004A03E9"/>
  </w:style>
  <w:style w:type="table" w:customStyle="1" w:styleId="TableGrid8">
    <w:name w:val="Table Grid8"/>
    <w:basedOn w:val="TableNormal"/>
    <w:next w:val="TableGrid"/>
    <w:uiPriority w:val="39"/>
    <w:rsid w:val="004A0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923B0"/>
    <w:rPr>
      <w:rFonts w:ascii="Segoe UI" w:hAnsi="Segoe UI" w:cs="Segoe UI" w:hint="default"/>
      <w:sz w:val="18"/>
      <w:szCs w:val="18"/>
    </w:rPr>
  </w:style>
  <w:style w:type="character" w:customStyle="1" w:styleId="cf11">
    <w:name w:val="cf11"/>
    <w:basedOn w:val="DefaultParagraphFont"/>
    <w:rsid w:val="001923B0"/>
    <w:rPr>
      <w:rFonts w:ascii="Segoe UI" w:hAnsi="Segoe UI" w:cs="Segoe UI" w:hint="default"/>
      <w:b/>
      <w:bCs/>
      <w:sz w:val="18"/>
      <w:szCs w:val="18"/>
      <w:u w:val="single"/>
    </w:rPr>
  </w:style>
  <w:style w:type="numbering" w:customStyle="1" w:styleId="NoList2">
    <w:name w:val="No List2"/>
    <w:next w:val="NoList"/>
    <w:uiPriority w:val="99"/>
    <w:semiHidden/>
    <w:unhideWhenUsed/>
    <w:rsid w:val="0082024B"/>
  </w:style>
  <w:style w:type="table" w:customStyle="1" w:styleId="TableGrid9">
    <w:name w:val="Table Grid9"/>
    <w:basedOn w:val="TableNormal"/>
    <w:next w:val="TableGrid"/>
    <w:uiPriority w:val="39"/>
    <w:rsid w:val="00820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02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38828941">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7053342">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2812824">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32777597">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6502360">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66843312">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1253552">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2.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3.xml><?xml version="1.0" encoding="utf-8"?>
<ds:datastoreItem xmlns:ds="http://schemas.openxmlformats.org/officeDocument/2006/customXml" ds:itemID="{42CB5DEF-241E-40DD-9470-A828A376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5.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12211</Words>
  <Characters>69606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81654</CharactersWithSpaces>
  <SharedDoc>false</SharedDoc>
  <HLinks>
    <vt:vector size="1038" baseType="variant">
      <vt:variant>
        <vt:i4>5701692</vt:i4>
      </vt:variant>
      <vt:variant>
        <vt:i4>864</vt:i4>
      </vt:variant>
      <vt:variant>
        <vt:i4>0</vt:i4>
      </vt:variant>
      <vt:variant>
        <vt:i4>5</vt:i4>
      </vt:variant>
      <vt:variant>
        <vt:lpwstr>mailto:diane.lee@nist.gov</vt:lpwstr>
      </vt:variant>
      <vt:variant>
        <vt:lpwstr/>
      </vt:variant>
      <vt:variant>
        <vt:i4>6750285</vt:i4>
      </vt:variant>
      <vt:variant>
        <vt:i4>861</vt:i4>
      </vt:variant>
      <vt:variant>
        <vt:i4>0</vt:i4>
      </vt:variant>
      <vt:variant>
        <vt:i4>5</vt:i4>
      </vt:variant>
      <vt:variant>
        <vt:lpwstr>mailto:rmurnane@pemfb.com</vt:lpwstr>
      </vt:variant>
      <vt:variant>
        <vt:lpwstr/>
      </vt:variant>
      <vt:variant>
        <vt:i4>4849772</vt:i4>
      </vt:variant>
      <vt:variant>
        <vt:i4>858</vt:i4>
      </vt:variant>
      <vt:variant>
        <vt:i4>0</vt:i4>
      </vt:variant>
      <vt:variant>
        <vt:i4>5</vt:i4>
      </vt:variant>
      <vt:variant>
        <vt:lpwstr>mailto:rmurnane@pemfab.com</vt:lpwstr>
      </vt:variant>
      <vt:variant>
        <vt:lpwstr/>
      </vt:variant>
      <vt:variant>
        <vt:i4>2424838</vt:i4>
      </vt:variant>
      <vt:variant>
        <vt:i4>855</vt:i4>
      </vt:variant>
      <vt:variant>
        <vt:i4>0</vt:i4>
      </vt:variant>
      <vt:variant>
        <vt:i4>5</vt:i4>
      </vt:variant>
      <vt:variant>
        <vt:lpwstr>mailto:richard.harshman@</vt:lpwstr>
      </vt:variant>
      <vt:variant>
        <vt:lpwstr/>
      </vt:variant>
      <vt:variant>
        <vt:i4>4456468</vt:i4>
      </vt:variant>
      <vt:variant>
        <vt:i4>852</vt:i4>
      </vt:variant>
      <vt:variant>
        <vt:i4>0</vt:i4>
      </vt:variant>
      <vt:variant>
        <vt:i4>5</vt:i4>
      </vt:variant>
      <vt:variant>
        <vt:lpwstr>https://www.ncwm.com/interim-archive</vt:lpwstr>
      </vt:variant>
      <vt:variant>
        <vt:lpwstr/>
      </vt:variant>
      <vt:variant>
        <vt:i4>3473501</vt:i4>
      </vt:variant>
      <vt:variant>
        <vt:i4>849</vt:i4>
      </vt:variant>
      <vt:variant>
        <vt:i4>0</vt:i4>
      </vt:variant>
      <vt:variant>
        <vt:i4>5</vt:i4>
      </vt:variant>
      <vt:variant>
        <vt:lpwstr>mailto:charles.stutesman@ks.gov</vt:lpwstr>
      </vt:variant>
      <vt:variant>
        <vt:lpwstr/>
      </vt:variant>
      <vt:variant>
        <vt:i4>4456468</vt:i4>
      </vt:variant>
      <vt:variant>
        <vt:i4>846</vt:i4>
      </vt:variant>
      <vt:variant>
        <vt:i4>0</vt:i4>
      </vt:variant>
      <vt:variant>
        <vt:i4>5</vt:i4>
      </vt:variant>
      <vt:variant>
        <vt:lpwstr>https://www.ncwm.com/interim-archive</vt:lpwstr>
      </vt:variant>
      <vt:variant>
        <vt:lpwstr/>
      </vt:variant>
      <vt:variant>
        <vt:i4>3473501</vt:i4>
      </vt:variant>
      <vt:variant>
        <vt:i4>843</vt:i4>
      </vt:variant>
      <vt:variant>
        <vt:i4>0</vt:i4>
      </vt:variant>
      <vt:variant>
        <vt:i4>5</vt:i4>
      </vt:variant>
      <vt:variant>
        <vt:lpwstr>mailto:charles.stutesman@ks.gov</vt:lpwstr>
      </vt:variant>
      <vt:variant>
        <vt:lpwstr/>
      </vt:variant>
      <vt:variant>
        <vt:i4>2031669</vt:i4>
      </vt:variant>
      <vt:variant>
        <vt:i4>840</vt:i4>
      </vt:variant>
      <vt:variant>
        <vt:i4>0</vt:i4>
      </vt:variant>
      <vt:variant>
        <vt:i4>5</vt:i4>
      </vt:variant>
      <vt:variant>
        <vt:lpwstr>mailto:james.willis@agriculture.ny.gov</vt:lpwstr>
      </vt:variant>
      <vt:variant>
        <vt:lpwstr/>
      </vt:variant>
      <vt:variant>
        <vt:i4>107</vt:i4>
      </vt:variant>
      <vt:variant>
        <vt:i4>837</vt:i4>
      </vt:variant>
      <vt:variant>
        <vt:i4>0</vt:i4>
      </vt:variant>
      <vt:variant>
        <vt:i4>5</vt:i4>
      </vt:variant>
      <vt:variant>
        <vt:lpwstr>mailto:doug.musick@ks.gov</vt:lpwstr>
      </vt:variant>
      <vt:variant>
        <vt:lpwstr/>
      </vt:variant>
      <vt:variant>
        <vt:i4>2687002</vt:i4>
      </vt:variant>
      <vt:variant>
        <vt:i4>828</vt:i4>
      </vt:variant>
      <vt:variant>
        <vt:i4>0</vt:i4>
      </vt:variant>
      <vt:variant>
        <vt:i4>5</vt:i4>
      </vt:variant>
      <vt:variant>
        <vt:lpwstr>mailto:tbutcher@nist.gov</vt:lpwstr>
      </vt:variant>
      <vt:variant>
        <vt:lpwstr/>
      </vt:variant>
      <vt:variant>
        <vt:i4>589944</vt:i4>
      </vt:variant>
      <vt:variant>
        <vt:i4>825</vt:i4>
      </vt:variant>
      <vt:variant>
        <vt:i4>0</vt:i4>
      </vt:variant>
      <vt:variant>
        <vt:i4>5</vt:i4>
      </vt:variant>
      <vt:variant>
        <vt:lpwstr>mailto:lisa.warfield@nist.gov</vt:lpwstr>
      </vt:variant>
      <vt:variant>
        <vt:lpwstr/>
      </vt:variant>
      <vt:variant>
        <vt:i4>5963828</vt:i4>
      </vt:variant>
      <vt:variant>
        <vt:i4>822</vt:i4>
      </vt:variant>
      <vt:variant>
        <vt:i4>0</vt:i4>
      </vt:variant>
      <vt:variant>
        <vt:i4>5</vt:i4>
      </vt:variant>
      <vt:variant>
        <vt:lpwstr>mailto:juana.williams@nist.gov</vt:lpwstr>
      </vt:variant>
      <vt:variant>
        <vt:lpwstr/>
      </vt:variant>
      <vt:variant>
        <vt:i4>2687002</vt:i4>
      </vt:variant>
      <vt:variant>
        <vt:i4>819</vt:i4>
      </vt:variant>
      <vt:variant>
        <vt:i4>0</vt:i4>
      </vt:variant>
      <vt:variant>
        <vt:i4>5</vt:i4>
      </vt:variant>
      <vt:variant>
        <vt:lpwstr>mailto:tbutcher@nist.gov</vt:lpwstr>
      </vt:variant>
      <vt:variant>
        <vt:lpwstr/>
      </vt:variant>
      <vt:variant>
        <vt:i4>1507335</vt:i4>
      </vt:variant>
      <vt:variant>
        <vt:i4>816</vt:i4>
      </vt:variant>
      <vt:variant>
        <vt:i4>0</vt:i4>
      </vt:variant>
      <vt:variant>
        <vt:i4>5</vt:i4>
      </vt:variant>
      <vt:variant>
        <vt:lpwstr>https://www.eia.gov/electricity/data/eia861/</vt:lpwstr>
      </vt:variant>
      <vt:variant>
        <vt:lpwstr/>
      </vt:variant>
      <vt:variant>
        <vt:i4>1310780</vt:i4>
      </vt:variant>
      <vt:variant>
        <vt:i4>806</vt:i4>
      </vt:variant>
      <vt:variant>
        <vt:i4>0</vt:i4>
      </vt:variant>
      <vt:variant>
        <vt:i4>5</vt:i4>
      </vt:variant>
      <vt:variant>
        <vt:lpwstr/>
      </vt:variant>
      <vt:variant>
        <vt:lpwstr>_Toc119155162</vt:lpwstr>
      </vt:variant>
      <vt:variant>
        <vt:i4>1310780</vt:i4>
      </vt:variant>
      <vt:variant>
        <vt:i4>800</vt:i4>
      </vt:variant>
      <vt:variant>
        <vt:i4>0</vt:i4>
      </vt:variant>
      <vt:variant>
        <vt:i4>5</vt:i4>
      </vt:variant>
      <vt:variant>
        <vt:lpwstr/>
      </vt:variant>
      <vt:variant>
        <vt:lpwstr>_Toc119155161</vt:lpwstr>
      </vt:variant>
      <vt:variant>
        <vt:i4>1310780</vt:i4>
      </vt:variant>
      <vt:variant>
        <vt:i4>794</vt:i4>
      </vt:variant>
      <vt:variant>
        <vt:i4>0</vt:i4>
      </vt:variant>
      <vt:variant>
        <vt:i4>5</vt:i4>
      </vt:variant>
      <vt:variant>
        <vt:lpwstr/>
      </vt:variant>
      <vt:variant>
        <vt:lpwstr>_Toc119155160</vt:lpwstr>
      </vt:variant>
      <vt:variant>
        <vt:i4>1507388</vt:i4>
      </vt:variant>
      <vt:variant>
        <vt:i4>788</vt:i4>
      </vt:variant>
      <vt:variant>
        <vt:i4>0</vt:i4>
      </vt:variant>
      <vt:variant>
        <vt:i4>5</vt:i4>
      </vt:variant>
      <vt:variant>
        <vt:lpwstr/>
      </vt:variant>
      <vt:variant>
        <vt:lpwstr>_Toc119155159</vt:lpwstr>
      </vt:variant>
      <vt:variant>
        <vt:i4>1507388</vt:i4>
      </vt:variant>
      <vt:variant>
        <vt:i4>782</vt:i4>
      </vt:variant>
      <vt:variant>
        <vt:i4>0</vt:i4>
      </vt:variant>
      <vt:variant>
        <vt:i4>5</vt:i4>
      </vt:variant>
      <vt:variant>
        <vt:lpwstr/>
      </vt:variant>
      <vt:variant>
        <vt:lpwstr>_Toc119155158</vt:lpwstr>
      </vt:variant>
      <vt:variant>
        <vt:i4>1507388</vt:i4>
      </vt:variant>
      <vt:variant>
        <vt:i4>776</vt:i4>
      </vt:variant>
      <vt:variant>
        <vt:i4>0</vt:i4>
      </vt:variant>
      <vt:variant>
        <vt:i4>5</vt:i4>
      </vt:variant>
      <vt:variant>
        <vt:lpwstr/>
      </vt:variant>
      <vt:variant>
        <vt:lpwstr>_Toc119155157</vt:lpwstr>
      </vt:variant>
      <vt:variant>
        <vt:i4>1507388</vt:i4>
      </vt:variant>
      <vt:variant>
        <vt:i4>770</vt:i4>
      </vt:variant>
      <vt:variant>
        <vt:i4>0</vt:i4>
      </vt:variant>
      <vt:variant>
        <vt:i4>5</vt:i4>
      </vt:variant>
      <vt:variant>
        <vt:lpwstr/>
      </vt:variant>
      <vt:variant>
        <vt:lpwstr>_Toc119155156</vt:lpwstr>
      </vt:variant>
      <vt:variant>
        <vt:i4>1507388</vt:i4>
      </vt:variant>
      <vt:variant>
        <vt:i4>764</vt:i4>
      </vt:variant>
      <vt:variant>
        <vt:i4>0</vt:i4>
      </vt:variant>
      <vt:variant>
        <vt:i4>5</vt:i4>
      </vt:variant>
      <vt:variant>
        <vt:lpwstr/>
      </vt:variant>
      <vt:variant>
        <vt:lpwstr>_Toc119155155</vt:lpwstr>
      </vt:variant>
      <vt:variant>
        <vt:i4>1507388</vt:i4>
      </vt:variant>
      <vt:variant>
        <vt:i4>758</vt:i4>
      </vt:variant>
      <vt:variant>
        <vt:i4>0</vt:i4>
      </vt:variant>
      <vt:variant>
        <vt:i4>5</vt:i4>
      </vt:variant>
      <vt:variant>
        <vt:lpwstr/>
      </vt:variant>
      <vt:variant>
        <vt:lpwstr>_Toc119155154</vt:lpwstr>
      </vt:variant>
      <vt:variant>
        <vt:i4>1507388</vt:i4>
      </vt:variant>
      <vt:variant>
        <vt:i4>752</vt:i4>
      </vt:variant>
      <vt:variant>
        <vt:i4>0</vt:i4>
      </vt:variant>
      <vt:variant>
        <vt:i4>5</vt:i4>
      </vt:variant>
      <vt:variant>
        <vt:lpwstr/>
      </vt:variant>
      <vt:variant>
        <vt:lpwstr>_Toc119155153</vt:lpwstr>
      </vt:variant>
      <vt:variant>
        <vt:i4>1507388</vt:i4>
      </vt:variant>
      <vt:variant>
        <vt:i4>746</vt:i4>
      </vt:variant>
      <vt:variant>
        <vt:i4>0</vt:i4>
      </vt:variant>
      <vt:variant>
        <vt:i4>5</vt:i4>
      </vt:variant>
      <vt:variant>
        <vt:lpwstr/>
      </vt:variant>
      <vt:variant>
        <vt:lpwstr>_Toc119155152</vt:lpwstr>
      </vt:variant>
      <vt:variant>
        <vt:i4>1507388</vt:i4>
      </vt:variant>
      <vt:variant>
        <vt:i4>740</vt:i4>
      </vt:variant>
      <vt:variant>
        <vt:i4>0</vt:i4>
      </vt:variant>
      <vt:variant>
        <vt:i4>5</vt:i4>
      </vt:variant>
      <vt:variant>
        <vt:lpwstr/>
      </vt:variant>
      <vt:variant>
        <vt:lpwstr>_Toc119155151</vt:lpwstr>
      </vt:variant>
      <vt:variant>
        <vt:i4>1507388</vt:i4>
      </vt:variant>
      <vt:variant>
        <vt:i4>734</vt:i4>
      </vt:variant>
      <vt:variant>
        <vt:i4>0</vt:i4>
      </vt:variant>
      <vt:variant>
        <vt:i4>5</vt:i4>
      </vt:variant>
      <vt:variant>
        <vt:lpwstr/>
      </vt:variant>
      <vt:variant>
        <vt:lpwstr>_Toc119155150</vt:lpwstr>
      </vt:variant>
      <vt:variant>
        <vt:i4>1441852</vt:i4>
      </vt:variant>
      <vt:variant>
        <vt:i4>728</vt:i4>
      </vt:variant>
      <vt:variant>
        <vt:i4>0</vt:i4>
      </vt:variant>
      <vt:variant>
        <vt:i4>5</vt:i4>
      </vt:variant>
      <vt:variant>
        <vt:lpwstr/>
      </vt:variant>
      <vt:variant>
        <vt:lpwstr>_Toc119155149</vt:lpwstr>
      </vt:variant>
      <vt:variant>
        <vt:i4>1441852</vt:i4>
      </vt:variant>
      <vt:variant>
        <vt:i4>722</vt:i4>
      </vt:variant>
      <vt:variant>
        <vt:i4>0</vt:i4>
      </vt:variant>
      <vt:variant>
        <vt:i4>5</vt:i4>
      </vt:variant>
      <vt:variant>
        <vt:lpwstr/>
      </vt:variant>
      <vt:variant>
        <vt:lpwstr>_Toc119155148</vt:lpwstr>
      </vt:variant>
      <vt:variant>
        <vt:i4>1441852</vt:i4>
      </vt:variant>
      <vt:variant>
        <vt:i4>716</vt:i4>
      </vt:variant>
      <vt:variant>
        <vt:i4>0</vt:i4>
      </vt:variant>
      <vt:variant>
        <vt:i4>5</vt:i4>
      </vt:variant>
      <vt:variant>
        <vt:lpwstr/>
      </vt:variant>
      <vt:variant>
        <vt:lpwstr>_Toc119155147</vt:lpwstr>
      </vt:variant>
      <vt:variant>
        <vt:i4>1441852</vt:i4>
      </vt:variant>
      <vt:variant>
        <vt:i4>710</vt:i4>
      </vt:variant>
      <vt:variant>
        <vt:i4>0</vt:i4>
      </vt:variant>
      <vt:variant>
        <vt:i4>5</vt:i4>
      </vt:variant>
      <vt:variant>
        <vt:lpwstr/>
      </vt:variant>
      <vt:variant>
        <vt:lpwstr>_Toc119155146</vt:lpwstr>
      </vt:variant>
      <vt:variant>
        <vt:i4>1441852</vt:i4>
      </vt:variant>
      <vt:variant>
        <vt:i4>704</vt:i4>
      </vt:variant>
      <vt:variant>
        <vt:i4>0</vt:i4>
      </vt:variant>
      <vt:variant>
        <vt:i4>5</vt:i4>
      </vt:variant>
      <vt:variant>
        <vt:lpwstr/>
      </vt:variant>
      <vt:variant>
        <vt:lpwstr>_Toc119155145</vt:lpwstr>
      </vt:variant>
      <vt:variant>
        <vt:i4>1441852</vt:i4>
      </vt:variant>
      <vt:variant>
        <vt:i4>698</vt:i4>
      </vt:variant>
      <vt:variant>
        <vt:i4>0</vt:i4>
      </vt:variant>
      <vt:variant>
        <vt:i4>5</vt:i4>
      </vt:variant>
      <vt:variant>
        <vt:lpwstr/>
      </vt:variant>
      <vt:variant>
        <vt:lpwstr>_Toc119155144</vt:lpwstr>
      </vt:variant>
      <vt:variant>
        <vt:i4>1441852</vt:i4>
      </vt:variant>
      <vt:variant>
        <vt:i4>692</vt:i4>
      </vt:variant>
      <vt:variant>
        <vt:i4>0</vt:i4>
      </vt:variant>
      <vt:variant>
        <vt:i4>5</vt:i4>
      </vt:variant>
      <vt:variant>
        <vt:lpwstr/>
      </vt:variant>
      <vt:variant>
        <vt:lpwstr>_Toc119155143</vt:lpwstr>
      </vt:variant>
      <vt:variant>
        <vt:i4>1441852</vt:i4>
      </vt:variant>
      <vt:variant>
        <vt:i4>686</vt:i4>
      </vt:variant>
      <vt:variant>
        <vt:i4>0</vt:i4>
      </vt:variant>
      <vt:variant>
        <vt:i4>5</vt:i4>
      </vt:variant>
      <vt:variant>
        <vt:lpwstr/>
      </vt:variant>
      <vt:variant>
        <vt:lpwstr>_Toc119155142</vt:lpwstr>
      </vt:variant>
      <vt:variant>
        <vt:i4>1441852</vt:i4>
      </vt:variant>
      <vt:variant>
        <vt:i4>680</vt:i4>
      </vt:variant>
      <vt:variant>
        <vt:i4>0</vt:i4>
      </vt:variant>
      <vt:variant>
        <vt:i4>5</vt:i4>
      </vt:variant>
      <vt:variant>
        <vt:lpwstr/>
      </vt:variant>
      <vt:variant>
        <vt:lpwstr>_Toc119155141</vt:lpwstr>
      </vt:variant>
      <vt:variant>
        <vt:i4>1441852</vt:i4>
      </vt:variant>
      <vt:variant>
        <vt:i4>674</vt:i4>
      </vt:variant>
      <vt:variant>
        <vt:i4>0</vt:i4>
      </vt:variant>
      <vt:variant>
        <vt:i4>5</vt:i4>
      </vt:variant>
      <vt:variant>
        <vt:lpwstr/>
      </vt:variant>
      <vt:variant>
        <vt:lpwstr>_Toc119155140</vt:lpwstr>
      </vt:variant>
      <vt:variant>
        <vt:i4>1114172</vt:i4>
      </vt:variant>
      <vt:variant>
        <vt:i4>668</vt:i4>
      </vt:variant>
      <vt:variant>
        <vt:i4>0</vt:i4>
      </vt:variant>
      <vt:variant>
        <vt:i4>5</vt:i4>
      </vt:variant>
      <vt:variant>
        <vt:lpwstr/>
      </vt:variant>
      <vt:variant>
        <vt:lpwstr>_Toc119155139</vt:lpwstr>
      </vt:variant>
      <vt:variant>
        <vt:i4>1114172</vt:i4>
      </vt:variant>
      <vt:variant>
        <vt:i4>662</vt:i4>
      </vt:variant>
      <vt:variant>
        <vt:i4>0</vt:i4>
      </vt:variant>
      <vt:variant>
        <vt:i4>5</vt:i4>
      </vt:variant>
      <vt:variant>
        <vt:lpwstr/>
      </vt:variant>
      <vt:variant>
        <vt:lpwstr>_Toc119155138</vt:lpwstr>
      </vt:variant>
      <vt:variant>
        <vt:i4>1114172</vt:i4>
      </vt:variant>
      <vt:variant>
        <vt:i4>656</vt:i4>
      </vt:variant>
      <vt:variant>
        <vt:i4>0</vt:i4>
      </vt:variant>
      <vt:variant>
        <vt:i4>5</vt:i4>
      </vt:variant>
      <vt:variant>
        <vt:lpwstr/>
      </vt:variant>
      <vt:variant>
        <vt:lpwstr>_Toc119155137</vt:lpwstr>
      </vt:variant>
      <vt:variant>
        <vt:i4>1114172</vt:i4>
      </vt:variant>
      <vt:variant>
        <vt:i4>650</vt:i4>
      </vt:variant>
      <vt:variant>
        <vt:i4>0</vt:i4>
      </vt:variant>
      <vt:variant>
        <vt:i4>5</vt:i4>
      </vt:variant>
      <vt:variant>
        <vt:lpwstr/>
      </vt:variant>
      <vt:variant>
        <vt:lpwstr>_Toc119155136</vt:lpwstr>
      </vt:variant>
      <vt:variant>
        <vt:i4>1114172</vt:i4>
      </vt:variant>
      <vt:variant>
        <vt:i4>644</vt:i4>
      </vt:variant>
      <vt:variant>
        <vt:i4>0</vt:i4>
      </vt:variant>
      <vt:variant>
        <vt:i4>5</vt:i4>
      </vt:variant>
      <vt:variant>
        <vt:lpwstr/>
      </vt:variant>
      <vt:variant>
        <vt:lpwstr>_Toc119155135</vt:lpwstr>
      </vt:variant>
      <vt:variant>
        <vt:i4>1114172</vt:i4>
      </vt:variant>
      <vt:variant>
        <vt:i4>638</vt:i4>
      </vt:variant>
      <vt:variant>
        <vt:i4>0</vt:i4>
      </vt:variant>
      <vt:variant>
        <vt:i4>5</vt:i4>
      </vt:variant>
      <vt:variant>
        <vt:lpwstr/>
      </vt:variant>
      <vt:variant>
        <vt:lpwstr>_Toc119155134</vt:lpwstr>
      </vt:variant>
      <vt:variant>
        <vt:i4>7209026</vt:i4>
      </vt:variant>
      <vt:variant>
        <vt:i4>633</vt:i4>
      </vt:variant>
      <vt:variant>
        <vt:i4>0</vt:i4>
      </vt:variant>
      <vt:variant>
        <vt:i4>5</vt:i4>
      </vt:variant>
      <vt:variant>
        <vt:lpwstr>mailto:tbauer@cubical.com</vt:lpwstr>
      </vt:variant>
      <vt:variant>
        <vt:lpwstr/>
      </vt:variant>
      <vt:variant>
        <vt:i4>6684699</vt:i4>
      </vt:variant>
      <vt:variant>
        <vt:i4>630</vt:i4>
      </vt:variant>
      <vt:variant>
        <vt:i4>0</vt:i4>
      </vt:variant>
      <vt:variant>
        <vt:i4>5</vt:i4>
      </vt:variant>
      <vt:variant>
        <vt:lpwstr>mailto:karl.cunningham@illinois.gov</vt:lpwstr>
      </vt:variant>
      <vt:variant>
        <vt:lpwstr/>
      </vt:variant>
      <vt:variant>
        <vt:i4>2097233</vt:i4>
      </vt:variant>
      <vt:variant>
        <vt:i4>627</vt:i4>
      </vt:variant>
      <vt:variant>
        <vt:i4>0</vt:i4>
      </vt:variant>
      <vt:variant>
        <vt:i4>5</vt:i4>
      </vt:variant>
      <vt:variant>
        <vt:lpwstr/>
      </vt:variant>
      <vt:variant>
        <vt:lpwstr>_bookmark25</vt:lpwstr>
      </vt:variant>
      <vt:variant>
        <vt:i4>2097233</vt:i4>
      </vt:variant>
      <vt:variant>
        <vt:i4>624</vt:i4>
      </vt:variant>
      <vt:variant>
        <vt:i4>0</vt:i4>
      </vt:variant>
      <vt:variant>
        <vt:i4>5</vt:i4>
      </vt:variant>
      <vt:variant>
        <vt:lpwstr/>
      </vt:variant>
      <vt:variant>
        <vt:lpwstr>_bookmark24</vt:lpwstr>
      </vt:variant>
      <vt:variant>
        <vt:i4>2097233</vt:i4>
      </vt:variant>
      <vt:variant>
        <vt:i4>621</vt:i4>
      </vt:variant>
      <vt:variant>
        <vt:i4>0</vt:i4>
      </vt:variant>
      <vt:variant>
        <vt:i4>5</vt:i4>
      </vt:variant>
      <vt:variant>
        <vt:lpwstr/>
      </vt:variant>
      <vt:variant>
        <vt:lpwstr>_bookmark27</vt:lpwstr>
      </vt:variant>
      <vt:variant>
        <vt:i4>2097233</vt:i4>
      </vt:variant>
      <vt:variant>
        <vt:i4>618</vt:i4>
      </vt:variant>
      <vt:variant>
        <vt:i4>0</vt:i4>
      </vt:variant>
      <vt:variant>
        <vt:i4>5</vt:i4>
      </vt:variant>
      <vt:variant>
        <vt:lpwstr/>
      </vt:variant>
      <vt:variant>
        <vt:lpwstr>_bookmark26</vt:lpwstr>
      </vt:variant>
      <vt:variant>
        <vt:i4>2097233</vt:i4>
      </vt:variant>
      <vt:variant>
        <vt:i4>615</vt:i4>
      </vt:variant>
      <vt:variant>
        <vt:i4>0</vt:i4>
      </vt:variant>
      <vt:variant>
        <vt:i4>5</vt:i4>
      </vt:variant>
      <vt:variant>
        <vt:lpwstr/>
      </vt:variant>
      <vt:variant>
        <vt:lpwstr>_bookmark20</vt:lpwstr>
      </vt:variant>
      <vt:variant>
        <vt:i4>2293841</vt:i4>
      </vt:variant>
      <vt:variant>
        <vt:i4>612</vt:i4>
      </vt:variant>
      <vt:variant>
        <vt:i4>0</vt:i4>
      </vt:variant>
      <vt:variant>
        <vt:i4>5</vt:i4>
      </vt:variant>
      <vt:variant>
        <vt:lpwstr/>
      </vt:variant>
      <vt:variant>
        <vt:lpwstr>_bookmark19</vt:lpwstr>
      </vt:variant>
      <vt:variant>
        <vt:i4>2293841</vt:i4>
      </vt:variant>
      <vt:variant>
        <vt:i4>609</vt:i4>
      </vt:variant>
      <vt:variant>
        <vt:i4>0</vt:i4>
      </vt:variant>
      <vt:variant>
        <vt:i4>5</vt:i4>
      </vt:variant>
      <vt:variant>
        <vt:lpwstr/>
      </vt:variant>
      <vt:variant>
        <vt:lpwstr>_bookmark18</vt:lpwstr>
      </vt:variant>
      <vt:variant>
        <vt:i4>2097233</vt:i4>
      </vt:variant>
      <vt:variant>
        <vt:i4>606</vt:i4>
      </vt:variant>
      <vt:variant>
        <vt:i4>0</vt:i4>
      </vt:variant>
      <vt:variant>
        <vt:i4>5</vt:i4>
      </vt:variant>
      <vt:variant>
        <vt:lpwstr/>
      </vt:variant>
      <vt:variant>
        <vt:lpwstr>_bookmark23</vt:lpwstr>
      </vt:variant>
      <vt:variant>
        <vt:i4>2097233</vt:i4>
      </vt:variant>
      <vt:variant>
        <vt:i4>603</vt:i4>
      </vt:variant>
      <vt:variant>
        <vt:i4>0</vt:i4>
      </vt:variant>
      <vt:variant>
        <vt:i4>5</vt:i4>
      </vt:variant>
      <vt:variant>
        <vt:lpwstr/>
      </vt:variant>
      <vt:variant>
        <vt:lpwstr>_bookmark22</vt:lpwstr>
      </vt:variant>
      <vt:variant>
        <vt:i4>2097233</vt:i4>
      </vt:variant>
      <vt:variant>
        <vt:i4>600</vt:i4>
      </vt:variant>
      <vt:variant>
        <vt:i4>0</vt:i4>
      </vt:variant>
      <vt:variant>
        <vt:i4>5</vt:i4>
      </vt:variant>
      <vt:variant>
        <vt:lpwstr/>
      </vt:variant>
      <vt:variant>
        <vt:lpwstr>_bookmark21</vt:lpwstr>
      </vt:variant>
      <vt:variant>
        <vt:i4>2293841</vt:i4>
      </vt:variant>
      <vt:variant>
        <vt:i4>597</vt:i4>
      </vt:variant>
      <vt:variant>
        <vt:i4>0</vt:i4>
      </vt:variant>
      <vt:variant>
        <vt:i4>5</vt:i4>
      </vt:variant>
      <vt:variant>
        <vt:lpwstr/>
      </vt:variant>
      <vt:variant>
        <vt:lpwstr>_bookmark14</vt:lpwstr>
      </vt:variant>
      <vt:variant>
        <vt:i4>5767204</vt:i4>
      </vt:variant>
      <vt:variant>
        <vt:i4>594</vt:i4>
      </vt:variant>
      <vt:variant>
        <vt:i4>0</vt:i4>
      </vt:variant>
      <vt:variant>
        <vt:i4>5</vt:i4>
      </vt:variant>
      <vt:variant>
        <vt:lpwstr>http://www.cdfa.ca.gov/dms/pdfs/regulations/EVSE_ISOR.pdf</vt:lpwstr>
      </vt:variant>
      <vt:variant>
        <vt:lpwstr/>
      </vt:variant>
      <vt:variant>
        <vt:i4>2293841</vt:i4>
      </vt:variant>
      <vt:variant>
        <vt:i4>591</vt:i4>
      </vt:variant>
      <vt:variant>
        <vt:i4>0</vt:i4>
      </vt:variant>
      <vt:variant>
        <vt:i4>5</vt:i4>
      </vt:variant>
      <vt:variant>
        <vt:lpwstr/>
      </vt:variant>
      <vt:variant>
        <vt:lpwstr>_bookmark13</vt:lpwstr>
      </vt:variant>
      <vt:variant>
        <vt:i4>2293841</vt:i4>
      </vt:variant>
      <vt:variant>
        <vt:i4>588</vt:i4>
      </vt:variant>
      <vt:variant>
        <vt:i4>0</vt:i4>
      </vt:variant>
      <vt:variant>
        <vt:i4>5</vt:i4>
      </vt:variant>
      <vt:variant>
        <vt:lpwstr/>
      </vt:variant>
      <vt:variant>
        <vt:lpwstr>_bookmark12</vt:lpwstr>
      </vt:variant>
      <vt:variant>
        <vt:i4>2293841</vt:i4>
      </vt:variant>
      <vt:variant>
        <vt:i4>585</vt:i4>
      </vt:variant>
      <vt:variant>
        <vt:i4>0</vt:i4>
      </vt:variant>
      <vt:variant>
        <vt:i4>5</vt:i4>
      </vt:variant>
      <vt:variant>
        <vt:lpwstr/>
      </vt:variant>
      <vt:variant>
        <vt:lpwstr>_bookmark17</vt:lpwstr>
      </vt:variant>
      <vt:variant>
        <vt:i4>2293841</vt:i4>
      </vt:variant>
      <vt:variant>
        <vt:i4>582</vt:i4>
      </vt:variant>
      <vt:variant>
        <vt:i4>0</vt:i4>
      </vt:variant>
      <vt:variant>
        <vt:i4>5</vt:i4>
      </vt:variant>
      <vt:variant>
        <vt:lpwstr/>
      </vt:variant>
      <vt:variant>
        <vt:lpwstr>_bookmark16</vt:lpwstr>
      </vt:variant>
      <vt:variant>
        <vt:i4>2293841</vt:i4>
      </vt:variant>
      <vt:variant>
        <vt:i4>579</vt:i4>
      </vt:variant>
      <vt:variant>
        <vt:i4>0</vt:i4>
      </vt:variant>
      <vt:variant>
        <vt:i4>5</vt:i4>
      </vt:variant>
      <vt:variant>
        <vt:lpwstr/>
      </vt:variant>
      <vt:variant>
        <vt:lpwstr>_bookmark15</vt:lpwstr>
      </vt:variant>
      <vt:variant>
        <vt:i4>2424913</vt:i4>
      </vt:variant>
      <vt:variant>
        <vt:i4>576</vt:i4>
      </vt:variant>
      <vt:variant>
        <vt:i4>0</vt:i4>
      </vt:variant>
      <vt:variant>
        <vt:i4>5</vt:i4>
      </vt:variant>
      <vt:variant>
        <vt:lpwstr/>
      </vt:variant>
      <vt:variant>
        <vt:lpwstr>_bookmark7</vt:lpwstr>
      </vt:variant>
      <vt:variant>
        <vt:i4>2359377</vt:i4>
      </vt:variant>
      <vt:variant>
        <vt:i4>573</vt:i4>
      </vt:variant>
      <vt:variant>
        <vt:i4>0</vt:i4>
      </vt:variant>
      <vt:variant>
        <vt:i4>5</vt:i4>
      </vt:variant>
      <vt:variant>
        <vt:lpwstr/>
      </vt:variant>
      <vt:variant>
        <vt:lpwstr>_bookmark6</vt:lpwstr>
      </vt:variant>
      <vt:variant>
        <vt:i4>2555985</vt:i4>
      </vt:variant>
      <vt:variant>
        <vt:i4>570</vt:i4>
      </vt:variant>
      <vt:variant>
        <vt:i4>0</vt:i4>
      </vt:variant>
      <vt:variant>
        <vt:i4>5</vt:i4>
      </vt:variant>
      <vt:variant>
        <vt:lpwstr/>
      </vt:variant>
      <vt:variant>
        <vt:lpwstr>_bookmark5</vt:lpwstr>
      </vt:variant>
      <vt:variant>
        <vt:i4>2490449</vt:i4>
      </vt:variant>
      <vt:variant>
        <vt:i4>567</vt:i4>
      </vt:variant>
      <vt:variant>
        <vt:i4>0</vt:i4>
      </vt:variant>
      <vt:variant>
        <vt:i4>5</vt:i4>
      </vt:variant>
      <vt:variant>
        <vt:lpwstr/>
      </vt:variant>
      <vt:variant>
        <vt:lpwstr>_bookmark4</vt:lpwstr>
      </vt:variant>
      <vt:variant>
        <vt:i4>2293841</vt:i4>
      </vt:variant>
      <vt:variant>
        <vt:i4>564</vt:i4>
      </vt:variant>
      <vt:variant>
        <vt:i4>0</vt:i4>
      </vt:variant>
      <vt:variant>
        <vt:i4>5</vt:i4>
      </vt:variant>
      <vt:variant>
        <vt:lpwstr/>
      </vt:variant>
      <vt:variant>
        <vt:lpwstr>_bookmark11</vt:lpwstr>
      </vt:variant>
      <vt:variant>
        <vt:i4>2293841</vt:i4>
      </vt:variant>
      <vt:variant>
        <vt:i4>561</vt:i4>
      </vt:variant>
      <vt:variant>
        <vt:i4>0</vt:i4>
      </vt:variant>
      <vt:variant>
        <vt:i4>5</vt:i4>
      </vt:variant>
      <vt:variant>
        <vt:lpwstr/>
      </vt:variant>
      <vt:variant>
        <vt:lpwstr>_bookmark10</vt:lpwstr>
      </vt:variant>
      <vt:variant>
        <vt:i4>2818129</vt:i4>
      </vt:variant>
      <vt:variant>
        <vt:i4>558</vt:i4>
      </vt:variant>
      <vt:variant>
        <vt:i4>0</vt:i4>
      </vt:variant>
      <vt:variant>
        <vt:i4>5</vt:i4>
      </vt:variant>
      <vt:variant>
        <vt:lpwstr/>
      </vt:variant>
      <vt:variant>
        <vt:lpwstr>_bookmark9</vt:lpwstr>
      </vt:variant>
      <vt:variant>
        <vt:i4>2752593</vt:i4>
      </vt:variant>
      <vt:variant>
        <vt:i4>555</vt:i4>
      </vt:variant>
      <vt:variant>
        <vt:i4>0</vt:i4>
      </vt:variant>
      <vt:variant>
        <vt:i4>5</vt:i4>
      </vt:variant>
      <vt:variant>
        <vt:lpwstr/>
      </vt:variant>
      <vt:variant>
        <vt:lpwstr>_bookmark8</vt:lpwstr>
      </vt:variant>
      <vt:variant>
        <vt:i4>2293841</vt:i4>
      </vt:variant>
      <vt:variant>
        <vt:i4>552</vt:i4>
      </vt:variant>
      <vt:variant>
        <vt:i4>0</vt:i4>
      </vt:variant>
      <vt:variant>
        <vt:i4>5</vt:i4>
      </vt:variant>
      <vt:variant>
        <vt:lpwstr/>
      </vt:variant>
      <vt:variant>
        <vt:lpwstr>_bookmark1</vt:lpwstr>
      </vt:variant>
      <vt:variant>
        <vt:i4>2228305</vt:i4>
      </vt:variant>
      <vt:variant>
        <vt:i4>549</vt:i4>
      </vt:variant>
      <vt:variant>
        <vt:i4>0</vt:i4>
      </vt:variant>
      <vt:variant>
        <vt:i4>5</vt:i4>
      </vt:variant>
      <vt:variant>
        <vt:lpwstr/>
      </vt:variant>
      <vt:variant>
        <vt:lpwstr>_bookmark0</vt:lpwstr>
      </vt:variant>
      <vt:variant>
        <vt:i4>2162769</vt:i4>
      </vt:variant>
      <vt:variant>
        <vt:i4>546</vt:i4>
      </vt:variant>
      <vt:variant>
        <vt:i4>0</vt:i4>
      </vt:variant>
      <vt:variant>
        <vt:i4>5</vt:i4>
      </vt:variant>
      <vt:variant>
        <vt:lpwstr/>
      </vt:variant>
      <vt:variant>
        <vt:lpwstr>_bookmark3</vt:lpwstr>
      </vt:variant>
      <vt:variant>
        <vt:i4>2097233</vt:i4>
      </vt:variant>
      <vt:variant>
        <vt:i4>543</vt:i4>
      </vt:variant>
      <vt:variant>
        <vt:i4>0</vt:i4>
      </vt:variant>
      <vt:variant>
        <vt:i4>5</vt:i4>
      </vt:variant>
      <vt:variant>
        <vt:lpwstr/>
      </vt:variant>
      <vt:variant>
        <vt:lpwstr>_bookmark2</vt:lpwstr>
      </vt:variant>
      <vt:variant>
        <vt:i4>4915296</vt:i4>
      </vt:variant>
      <vt:variant>
        <vt:i4>540</vt:i4>
      </vt:variant>
      <vt:variant>
        <vt:i4>0</vt:i4>
      </vt:variant>
      <vt:variant>
        <vt:i4>5</vt:i4>
      </vt:variant>
      <vt:variant>
        <vt:lpwstr>mailto:asaf.nagler@us.abb.com</vt:lpwstr>
      </vt:variant>
      <vt:variant>
        <vt:lpwstr/>
      </vt:variant>
      <vt:variant>
        <vt:i4>6029395</vt:i4>
      </vt:variant>
      <vt:variant>
        <vt:i4>537</vt:i4>
      </vt:variant>
      <vt:variant>
        <vt:i4>0</vt:i4>
      </vt:variant>
      <vt:variant>
        <vt:i4>5</vt:i4>
      </vt:variant>
      <vt:variant>
        <vt:lpwstr>https://ww2.arb.ca.gov/resources/documents/annual-hydrogen-evaluation</vt:lpwstr>
      </vt:variant>
      <vt:variant>
        <vt:lpwstr/>
      </vt:variant>
      <vt:variant>
        <vt:i4>2949179</vt:i4>
      </vt:variant>
      <vt:variant>
        <vt:i4>534</vt:i4>
      </vt:variant>
      <vt:variant>
        <vt:i4>0</vt:i4>
      </vt:variant>
      <vt:variant>
        <vt:i4>5</vt:i4>
      </vt:variant>
      <vt:variant>
        <vt:lpwstr>https://www.csagroup.org/store/product/CSA%25100ANSI HGV 4.3%3A22/</vt:lpwstr>
      </vt:variant>
      <vt:variant>
        <vt:lpwstr/>
      </vt:variant>
      <vt:variant>
        <vt:i4>5767272</vt:i4>
      </vt:variant>
      <vt:variant>
        <vt:i4>531</vt:i4>
      </vt:variant>
      <vt:variant>
        <vt:i4>0</vt:i4>
      </vt:variant>
      <vt:variant>
        <vt:i4>5</vt:i4>
      </vt:variant>
      <vt:variant>
        <vt:lpwstr>https://www.sae.org/standards/content/j2601_202005/</vt:lpwstr>
      </vt:variant>
      <vt:variant>
        <vt:lpwstr/>
      </vt:variant>
      <vt:variant>
        <vt:i4>4587527</vt:i4>
      </vt:variant>
      <vt:variant>
        <vt:i4>528</vt:i4>
      </vt:variant>
      <vt:variant>
        <vt:i4>0</vt:i4>
      </vt:variant>
      <vt:variant>
        <vt:i4>5</vt:i4>
      </vt:variant>
      <vt:variant>
        <vt:lpwstr>https://h2tools.org/hystep-hydrogen-station-equipment-performance-device</vt:lpwstr>
      </vt:variant>
      <vt:variant>
        <vt:lpwstr/>
      </vt:variant>
      <vt:variant>
        <vt:i4>6029395</vt:i4>
      </vt:variant>
      <vt:variant>
        <vt:i4>525</vt:i4>
      </vt:variant>
      <vt:variant>
        <vt:i4>0</vt:i4>
      </vt:variant>
      <vt:variant>
        <vt:i4>5</vt:i4>
      </vt:variant>
      <vt:variant>
        <vt:lpwstr>https://ww2.arb.ca.gov/resources/documents/annual-hydrogen-evaluation</vt:lpwstr>
      </vt:variant>
      <vt:variant>
        <vt:lpwstr/>
      </vt:variant>
      <vt:variant>
        <vt:i4>2949179</vt:i4>
      </vt:variant>
      <vt:variant>
        <vt:i4>522</vt:i4>
      </vt:variant>
      <vt:variant>
        <vt:i4>0</vt:i4>
      </vt:variant>
      <vt:variant>
        <vt:i4>5</vt:i4>
      </vt:variant>
      <vt:variant>
        <vt:lpwstr>https://www.csagroup.org/store/product/CSA%25100ANSI HGV 4.3%3A22/</vt:lpwstr>
      </vt:variant>
      <vt:variant>
        <vt:lpwstr/>
      </vt:variant>
      <vt:variant>
        <vt:i4>5767272</vt:i4>
      </vt:variant>
      <vt:variant>
        <vt:i4>519</vt:i4>
      </vt:variant>
      <vt:variant>
        <vt:i4>0</vt:i4>
      </vt:variant>
      <vt:variant>
        <vt:i4>5</vt:i4>
      </vt:variant>
      <vt:variant>
        <vt:lpwstr>https://www.sae.org/standards/content/j2601_202005/</vt:lpwstr>
      </vt:variant>
      <vt:variant>
        <vt:lpwstr/>
      </vt:variant>
      <vt:variant>
        <vt:i4>4849707</vt:i4>
      </vt:variant>
      <vt:variant>
        <vt:i4>516</vt:i4>
      </vt:variant>
      <vt:variant>
        <vt:i4>0</vt:i4>
      </vt:variant>
      <vt:variant>
        <vt:i4>5</vt:i4>
      </vt:variant>
      <vt:variant>
        <vt:lpwstr>mailto:jason.glass@ky.gov</vt:lpwstr>
      </vt:variant>
      <vt:variant>
        <vt:lpwstr/>
      </vt:variant>
      <vt:variant>
        <vt:i4>4849707</vt:i4>
      </vt:variant>
      <vt:variant>
        <vt:i4>513</vt:i4>
      </vt:variant>
      <vt:variant>
        <vt:i4>0</vt:i4>
      </vt:variant>
      <vt:variant>
        <vt:i4>5</vt:i4>
      </vt:variant>
      <vt:variant>
        <vt:lpwstr>mailto:jason.glass@ky.gov</vt:lpwstr>
      </vt:variant>
      <vt:variant>
        <vt:lpwstr/>
      </vt:variant>
      <vt:variant>
        <vt:i4>5963859</vt:i4>
      </vt:variant>
      <vt:variant>
        <vt:i4>510</vt:i4>
      </vt:variant>
      <vt:variant>
        <vt:i4>0</vt:i4>
      </vt:variant>
      <vt:variant>
        <vt:i4>5</vt:i4>
      </vt:variant>
      <vt:variant>
        <vt:lpwstr>mailto:konrad_pilatowicz@uhaul.com</vt:lpwstr>
      </vt:variant>
      <vt:variant>
        <vt:lpwstr/>
      </vt:variant>
      <vt:variant>
        <vt:i4>4784236</vt:i4>
      </vt:variant>
      <vt:variant>
        <vt:i4>507</vt:i4>
      </vt:variant>
      <vt:variant>
        <vt:i4>0</vt:i4>
      </vt:variant>
      <vt:variant>
        <vt:i4>5</vt:i4>
      </vt:variant>
      <vt:variant>
        <vt:lpwstr>mailto:bswiecicki@npga.org</vt:lpwstr>
      </vt:variant>
      <vt:variant>
        <vt:lpwstr/>
      </vt:variant>
      <vt:variant>
        <vt:i4>2031669</vt:i4>
      </vt:variant>
      <vt:variant>
        <vt:i4>504</vt:i4>
      </vt:variant>
      <vt:variant>
        <vt:i4>0</vt:i4>
      </vt:variant>
      <vt:variant>
        <vt:i4>5</vt:i4>
      </vt:variant>
      <vt:variant>
        <vt:lpwstr>mailto:james.willis@agriculture.ny.gov</vt:lpwstr>
      </vt:variant>
      <vt:variant>
        <vt:lpwstr/>
      </vt:variant>
      <vt:variant>
        <vt:i4>655379</vt:i4>
      </vt:variant>
      <vt:variant>
        <vt:i4>501</vt:i4>
      </vt:variant>
      <vt:variant>
        <vt:i4>0</vt:i4>
      </vt:variant>
      <vt:variant>
        <vt:i4>5</vt:i4>
      </vt:variant>
      <vt:variant>
        <vt:lpwstr>https://www.nist.gov/pml/owm/weights-and-measures-newsletter-archives-field-standards</vt:lpwstr>
      </vt:variant>
      <vt:variant>
        <vt:lpwstr/>
      </vt:variant>
      <vt:variant>
        <vt:i4>1179699</vt:i4>
      </vt:variant>
      <vt:variant>
        <vt:i4>494</vt:i4>
      </vt:variant>
      <vt:variant>
        <vt:i4>0</vt:i4>
      </vt:variant>
      <vt:variant>
        <vt:i4>5</vt:i4>
      </vt:variant>
      <vt:variant>
        <vt:lpwstr/>
      </vt:variant>
      <vt:variant>
        <vt:lpwstr>_Toc110364433</vt:lpwstr>
      </vt:variant>
      <vt:variant>
        <vt:i4>589878</vt:i4>
      </vt:variant>
      <vt:variant>
        <vt:i4>489</vt:i4>
      </vt:variant>
      <vt:variant>
        <vt:i4>0</vt:i4>
      </vt:variant>
      <vt:variant>
        <vt:i4>5</vt:i4>
      </vt:variant>
      <vt:variant>
        <vt:lpwstr>mailto:charlie@cprsquaredinc.com</vt:lpwstr>
      </vt:variant>
      <vt:variant>
        <vt:lpwstr/>
      </vt:variant>
      <vt:variant>
        <vt:i4>3342340</vt:i4>
      </vt:variant>
      <vt:variant>
        <vt:i4>486</vt:i4>
      </vt:variant>
      <vt:variant>
        <vt:i4>0</vt:i4>
      </vt:variant>
      <vt:variant>
        <vt:i4>5</vt:i4>
      </vt:variant>
      <vt:variant>
        <vt:lpwstr>mailto:vwolpert@azda.gov</vt:lpwstr>
      </vt:variant>
      <vt:variant>
        <vt:lpwstr/>
      </vt:variant>
      <vt:variant>
        <vt:i4>589846</vt:i4>
      </vt:variant>
      <vt:variant>
        <vt:i4>483</vt:i4>
      </vt:variant>
      <vt:variant>
        <vt:i4>0</vt:i4>
      </vt:variant>
      <vt:variant>
        <vt:i4>5</vt:i4>
      </vt:variant>
      <vt:variant>
        <vt:lpwstr/>
      </vt:variant>
      <vt:variant>
        <vt:lpwstr>AppendixA</vt:lpwstr>
      </vt:variant>
      <vt:variant>
        <vt:i4>1572924</vt:i4>
      </vt:variant>
      <vt:variant>
        <vt:i4>476</vt:i4>
      </vt:variant>
      <vt:variant>
        <vt:i4>0</vt:i4>
      </vt:variant>
      <vt:variant>
        <vt:i4>5</vt:i4>
      </vt:variant>
      <vt:variant>
        <vt:lpwstr/>
      </vt:variant>
      <vt:variant>
        <vt:lpwstr>_Toc119422689</vt:lpwstr>
      </vt:variant>
      <vt:variant>
        <vt:i4>1572924</vt:i4>
      </vt:variant>
      <vt:variant>
        <vt:i4>470</vt:i4>
      </vt:variant>
      <vt:variant>
        <vt:i4>0</vt:i4>
      </vt:variant>
      <vt:variant>
        <vt:i4>5</vt:i4>
      </vt:variant>
      <vt:variant>
        <vt:lpwstr/>
      </vt:variant>
      <vt:variant>
        <vt:lpwstr>_Toc119422688</vt:lpwstr>
      </vt:variant>
      <vt:variant>
        <vt:i4>1572924</vt:i4>
      </vt:variant>
      <vt:variant>
        <vt:i4>464</vt:i4>
      </vt:variant>
      <vt:variant>
        <vt:i4>0</vt:i4>
      </vt:variant>
      <vt:variant>
        <vt:i4>5</vt:i4>
      </vt:variant>
      <vt:variant>
        <vt:lpwstr/>
      </vt:variant>
      <vt:variant>
        <vt:lpwstr>_Toc119422687</vt:lpwstr>
      </vt:variant>
      <vt:variant>
        <vt:i4>1572924</vt:i4>
      </vt:variant>
      <vt:variant>
        <vt:i4>458</vt:i4>
      </vt:variant>
      <vt:variant>
        <vt:i4>0</vt:i4>
      </vt:variant>
      <vt:variant>
        <vt:i4>5</vt:i4>
      </vt:variant>
      <vt:variant>
        <vt:lpwstr/>
      </vt:variant>
      <vt:variant>
        <vt:lpwstr>_Toc119422686</vt:lpwstr>
      </vt:variant>
      <vt:variant>
        <vt:i4>1572924</vt:i4>
      </vt:variant>
      <vt:variant>
        <vt:i4>452</vt:i4>
      </vt:variant>
      <vt:variant>
        <vt:i4>0</vt:i4>
      </vt:variant>
      <vt:variant>
        <vt:i4>5</vt:i4>
      </vt:variant>
      <vt:variant>
        <vt:lpwstr/>
      </vt:variant>
      <vt:variant>
        <vt:lpwstr>_Toc119422685</vt:lpwstr>
      </vt:variant>
      <vt:variant>
        <vt:i4>1572924</vt:i4>
      </vt:variant>
      <vt:variant>
        <vt:i4>446</vt:i4>
      </vt:variant>
      <vt:variant>
        <vt:i4>0</vt:i4>
      </vt:variant>
      <vt:variant>
        <vt:i4>5</vt:i4>
      </vt:variant>
      <vt:variant>
        <vt:lpwstr/>
      </vt:variant>
      <vt:variant>
        <vt:lpwstr>_Toc119422684</vt:lpwstr>
      </vt:variant>
      <vt:variant>
        <vt:i4>1572924</vt:i4>
      </vt:variant>
      <vt:variant>
        <vt:i4>440</vt:i4>
      </vt:variant>
      <vt:variant>
        <vt:i4>0</vt:i4>
      </vt:variant>
      <vt:variant>
        <vt:i4>5</vt:i4>
      </vt:variant>
      <vt:variant>
        <vt:lpwstr/>
      </vt:variant>
      <vt:variant>
        <vt:lpwstr>_Toc119422683</vt:lpwstr>
      </vt:variant>
      <vt:variant>
        <vt:i4>1572924</vt:i4>
      </vt:variant>
      <vt:variant>
        <vt:i4>434</vt:i4>
      </vt:variant>
      <vt:variant>
        <vt:i4>0</vt:i4>
      </vt:variant>
      <vt:variant>
        <vt:i4>5</vt:i4>
      </vt:variant>
      <vt:variant>
        <vt:lpwstr/>
      </vt:variant>
      <vt:variant>
        <vt:lpwstr>_Toc119422682</vt:lpwstr>
      </vt:variant>
      <vt:variant>
        <vt:i4>1572924</vt:i4>
      </vt:variant>
      <vt:variant>
        <vt:i4>428</vt:i4>
      </vt:variant>
      <vt:variant>
        <vt:i4>0</vt:i4>
      </vt:variant>
      <vt:variant>
        <vt:i4>5</vt:i4>
      </vt:variant>
      <vt:variant>
        <vt:lpwstr/>
      </vt:variant>
      <vt:variant>
        <vt:lpwstr>_Toc119422681</vt:lpwstr>
      </vt:variant>
      <vt:variant>
        <vt:i4>1572924</vt:i4>
      </vt:variant>
      <vt:variant>
        <vt:i4>422</vt:i4>
      </vt:variant>
      <vt:variant>
        <vt:i4>0</vt:i4>
      </vt:variant>
      <vt:variant>
        <vt:i4>5</vt:i4>
      </vt:variant>
      <vt:variant>
        <vt:lpwstr/>
      </vt:variant>
      <vt:variant>
        <vt:lpwstr>_Toc119422680</vt:lpwstr>
      </vt:variant>
      <vt:variant>
        <vt:i4>1507388</vt:i4>
      </vt:variant>
      <vt:variant>
        <vt:i4>416</vt:i4>
      </vt:variant>
      <vt:variant>
        <vt:i4>0</vt:i4>
      </vt:variant>
      <vt:variant>
        <vt:i4>5</vt:i4>
      </vt:variant>
      <vt:variant>
        <vt:lpwstr/>
      </vt:variant>
      <vt:variant>
        <vt:lpwstr>_Toc119422679</vt:lpwstr>
      </vt:variant>
      <vt:variant>
        <vt:i4>1507388</vt:i4>
      </vt:variant>
      <vt:variant>
        <vt:i4>410</vt:i4>
      </vt:variant>
      <vt:variant>
        <vt:i4>0</vt:i4>
      </vt:variant>
      <vt:variant>
        <vt:i4>5</vt:i4>
      </vt:variant>
      <vt:variant>
        <vt:lpwstr/>
      </vt:variant>
      <vt:variant>
        <vt:lpwstr>_Toc119422678</vt:lpwstr>
      </vt:variant>
      <vt:variant>
        <vt:i4>1507388</vt:i4>
      </vt:variant>
      <vt:variant>
        <vt:i4>404</vt:i4>
      </vt:variant>
      <vt:variant>
        <vt:i4>0</vt:i4>
      </vt:variant>
      <vt:variant>
        <vt:i4>5</vt:i4>
      </vt:variant>
      <vt:variant>
        <vt:lpwstr/>
      </vt:variant>
      <vt:variant>
        <vt:lpwstr>_Toc119422677</vt:lpwstr>
      </vt:variant>
      <vt:variant>
        <vt:i4>1507388</vt:i4>
      </vt:variant>
      <vt:variant>
        <vt:i4>398</vt:i4>
      </vt:variant>
      <vt:variant>
        <vt:i4>0</vt:i4>
      </vt:variant>
      <vt:variant>
        <vt:i4>5</vt:i4>
      </vt:variant>
      <vt:variant>
        <vt:lpwstr/>
      </vt:variant>
      <vt:variant>
        <vt:lpwstr>_Toc119422676</vt:lpwstr>
      </vt:variant>
      <vt:variant>
        <vt:i4>1507388</vt:i4>
      </vt:variant>
      <vt:variant>
        <vt:i4>392</vt:i4>
      </vt:variant>
      <vt:variant>
        <vt:i4>0</vt:i4>
      </vt:variant>
      <vt:variant>
        <vt:i4>5</vt:i4>
      </vt:variant>
      <vt:variant>
        <vt:lpwstr/>
      </vt:variant>
      <vt:variant>
        <vt:lpwstr>_Toc119422675</vt:lpwstr>
      </vt:variant>
      <vt:variant>
        <vt:i4>1507388</vt:i4>
      </vt:variant>
      <vt:variant>
        <vt:i4>386</vt:i4>
      </vt:variant>
      <vt:variant>
        <vt:i4>0</vt:i4>
      </vt:variant>
      <vt:variant>
        <vt:i4>5</vt:i4>
      </vt:variant>
      <vt:variant>
        <vt:lpwstr/>
      </vt:variant>
      <vt:variant>
        <vt:lpwstr>_Toc119422674</vt:lpwstr>
      </vt:variant>
      <vt:variant>
        <vt:i4>1507388</vt:i4>
      </vt:variant>
      <vt:variant>
        <vt:i4>380</vt:i4>
      </vt:variant>
      <vt:variant>
        <vt:i4>0</vt:i4>
      </vt:variant>
      <vt:variant>
        <vt:i4>5</vt:i4>
      </vt:variant>
      <vt:variant>
        <vt:lpwstr/>
      </vt:variant>
      <vt:variant>
        <vt:lpwstr>_Toc119422673</vt:lpwstr>
      </vt:variant>
      <vt:variant>
        <vt:i4>1507388</vt:i4>
      </vt:variant>
      <vt:variant>
        <vt:i4>374</vt:i4>
      </vt:variant>
      <vt:variant>
        <vt:i4>0</vt:i4>
      </vt:variant>
      <vt:variant>
        <vt:i4>5</vt:i4>
      </vt:variant>
      <vt:variant>
        <vt:lpwstr/>
      </vt:variant>
      <vt:variant>
        <vt:lpwstr>_Toc119422672</vt:lpwstr>
      </vt:variant>
      <vt:variant>
        <vt:i4>1507388</vt:i4>
      </vt:variant>
      <vt:variant>
        <vt:i4>368</vt:i4>
      </vt:variant>
      <vt:variant>
        <vt:i4>0</vt:i4>
      </vt:variant>
      <vt:variant>
        <vt:i4>5</vt:i4>
      </vt:variant>
      <vt:variant>
        <vt:lpwstr/>
      </vt:variant>
      <vt:variant>
        <vt:lpwstr>_Toc119422671</vt:lpwstr>
      </vt:variant>
      <vt:variant>
        <vt:i4>1507388</vt:i4>
      </vt:variant>
      <vt:variant>
        <vt:i4>362</vt:i4>
      </vt:variant>
      <vt:variant>
        <vt:i4>0</vt:i4>
      </vt:variant>
      <vt:variant>
        <vt:i4>5</vt:i4>
      </vt:variant>
      <vt:variant>
        <vt:lpwstr/>
      </vt:variant>
      <vt:variant>
        <vt:lpwstr>_Toc119422670</vt:lpwstr>
      </vt:variant>
      <vt:variant>
        <vt:i4>1441852</vt:i4>
      </vt:variant>
      <vt:variant>
        <vt:i4>356</vt:i4>
      </vt:variant>
      <vt:variant>
        <vt:i4>0</vt:i4>
      </vt:variant>
      <vt:variant>
        <vt:i4>5</vt:i4>
      </vt:variant>
      <vt:variant>
        <vt:lpwstr/>
      </vt:variant>
      <vt:variant>
        <vt:lpwstr>_Toc119422669</vt:lpwstr>
      </vt:variant>
      <vt:variant>
        <vt:i4>1441852</vt:i4>
      </vt:variant>
      <vt:variant>
        <vt:i4>350</vt:i4>
      </vt:variant>
      <vt:variant>
        <vt:i4>0</vt:i4>
      </vt:variant>
      <vt:variant>
        <vt:i4>5</vt:i4>
      </vt:variant>
      <vt:variant>
        <vt:lpwstr/>
      </vt:variant>
      <vt:variant>
        <vt:lpwstr>_Toc119422668</vt:lpwstr>
      </vt:variant>
      <vt:variant>
        <vt:i4>1441852</vt:i4>
      </vt:variant>
      <vt:variant>
        <vt:i4>344</vt:i4>
      </vt:variant>
      <vt:variant>
        <vt:i4>0</vt:i4>
      </vt:variant>
      <vt:variant>
        <vt:i4>5</vt:i4>
      </vt:variant>
      <vt:variant>
        <vt:lpwstr/>
      </vt:variant>
      <vt:variant>
        <vt:lpwstr>_Toc119422667</vt:lpwstr>
      </vt:variant>
      <vt:variant>
        <vt:i4>1441852</vt:i4>
      </vt:variant>
      <vt:variant>
        <vt:i4>338</vt:i4>
      </vt:variant>
      <vt:variant>
        <vt:i4>0</vt:i4>
      </vt:variant>
      <vt:variant>
        <vt:i4>5</vt:i4>
      </vt:variant>
      <vt:variant>
        <vt:lpwstr/>
      </vt:variant>
      <vt:variant>
        <vt:lpwstr>_Toc119422666</vt:lpwstr>
      </vt:variant>
      <vt:variant>
        <vt:i4>1441852</vt:i4>
      </vt:variant>
      <vt:variant>
        <vt:i4>332</vt:i4>
      </vt:variant>
      <vt:variant>
        <vt:i4>0</vt:i4>
      </vt:variant>
      <vt:variant>
        <vt:i4>5</vt:i4>
      </vt:variant>
      <vt:variant>
        <vt:lpwstr/>
      </vt:variant>
      <vt:variant>
        <vt:lpwstr>_Toc119422665</vt:lpwstr>
      </vt:variant>
      <vt:variant>
        <vt:i4>1441852</vt:i4>
      </vt:variant>
      <vt:variant>
        <vt:i4>326</vt:i4>
      </vt:variant>
      <vt:variant>
        <vt:i4>0</vt:i4>
      </vt:variant>
      <vt:variant>
        <vt:i4>5</vt:i4>
      </vt:variant>
      <vt:variant>
        <vt:lpwstr/>
      </vt:variant>
      <vt:variant>
        <vt:lpwstr>_Toc119422664</vt:lpwstr>
      </vt:variant>
      <vt:variant>
        <vt:i4>1441852</vt:i4>
      </vt:variant>
      <vt:variant>
        <vt:i4>320</vt:i4>
      </vt:variant>
      <vt:variant>
        <vt:i4>0</vt:i4>
      </vt:variant>
      <vt:variant>
        <vt:i4>5</vt:i4>
      </vt:variant>
      <vt:variant>
        <vt:lpwstr/>
      </vt:variant>
      <vt:variant>
        <vt:lpwstr>_Toc119422663</vt:lpwstr>
      </vt:variant>
      <vt:variant>
        <vt:i4>1441852</vt:i4>
      </vt:variant>
      <vt:variant>
        <vt:i4>314</vt:i4>
      </vt:variant>
      <vt:variant>
        <vt:i4>0</vt:i4>
      </vt:variant>
      <vt:variant>
        <vt:i4>5</vt:i4>
      </vt:variant>
      <vt:variant>
        <vt:lpwstr/>
      </vt:variant>
      <vt:variant>
        <vt:lpwstr>_Toc119422662</vt:lpwstr>
      </vt:variant>
      <vt:variant>
        <vt:i4>1441852</vt:i4>
      </vt:variant>
      <vt:variant>
        <vt:i4>308</vt:i4>
      </vt:variant>
      <vt:variant>
        <vt:i4>0</vt:i4>
      </vt:variant>
      <vt:variant>
        <vt:i4>5</vt:i4>
      </vt:variant>
      <vt:variant>
        <vt:lpwstr/>
      </vt:variant>
      <vt:variant>
        <vt:lpwstr>_Toc119422661</vt:lpwstr>
      </vt:variant>
      <vt:variant>
        <vt:i4>1441852</vt:i4>
      </vt:variant>
      <vt:variant>
        <vt:i4>302</vt:i4>
      </vt:variant>
      <vt:variant>
        <vt:i4>0</vt:i4>
      </vt:variant>
      <vt:variant>
        <vt:i4>5</vt:i4>
      </vt:variant>
      <vt:variant>
        <vt:lpwstr/>
      </vt:variant>
      <vt:variant>
        <vt:lpwstr>_Toc119422660</vt:lpwstr>
      </vt:variant>
      <vt:variant>
        <vt:i4>1376316</vt:i4>
      </vt:variant>
      <vt:variant>
        <vt:i4>296</vt:i4>
      </vt:variant>
      <vt:variant>
        <vt:i4>0</vt:i4>
      </vt:variant>
      <vt:variant>
        <vt:i4>5</vt:i4>
      </vt:variant>
      <vt:variant>
        <vt:lpwstr/>
      </vt:variant>
      <vt:variant>
        <vt:lpwstr>_Toc119422659</vt:lpwstr>
      </vt:variant>
      <vt:variant>
        <vt:i4>1376316</vt:i4>
      </vt:variant>
      <vt:variant>
        <vt:i4>290</vt:i4>
      </vt:variant>
      <vt:variant>
        <vt:i4>0</vt:i4>
      </vt:variant>
      <vt:variant>
        <vt:i4>5</vt:i4>
      </vt:variant>
      <vt:variant>
        <vt:lpwstr/>
      </vt:variant>
      <vt:variant>
        <vt:lpwstr>_Toc119422658</vt:lpwstr>
      </vt:variant>
      <vt:variant>
        <vt:i4>1376316</vt:i4>
      </vt:variant>
      <vt:variant>
        <vt:i4>284</vt:i4>
      </vt:variant>
      <vt:variant>
        <vt:i4>0</vt:i4>
      </vt:variant>
      <vt:variant>
        <vt:i4>5</vt:i4>
      </vt:variant>
      <vt:variant>
        <vt:lpwstr/>
      </vt:variant>
      <vt:variant>
        <vt:lpwstr>_Toc119422657</vt:lpwstr>
      </vt:variant>
      <vt:variant>
        <vt:i4>1376316</vt:i4>
      </vt:variant>
      <vt:variant>
        <vt:i4>278</vt:i4>
      </vt:variant>
      <vt:variant>
        <vt:i4>0</vt:i4>
      </vt:variant>
      <vt:variant>
        <vt:i4>5</vt:i4>
      </vt:variant>
      <vt:variant>
        <vt:lpwstr/>
      </vt:variant>
      <vt:variant>
        <vt:lpwstr>_Toc119422656</vt:lpwstr>
      </vt:variant>
      <vt:variant>
        <vt:i4>1376316</vt:i4>
      </vt:variant>
      <vt:variant>
        <vt:i4>272</vt:i4>
      </vt:variant>
      <vt:variant>
        <vt:i4>0</vt:i4>
      </vt:variant>
      <vt:variant>
        <vt:i4>5</vt:i4>
      </vt:variant>
      <vt:variant>
        <vt:lpwstr/>
      </vt:variant>
      <vt:variant>
        <vt:lpwstr>_Toc119422655</vt:lpwstr>
      </vt:variant>
      <vt:variant>
        <vt:i4>1376316</vt:i4>
      </vt:variant>
      <vt:variant>
        <vt:i4>266</vt:i4>
      </vt:variant>
      <vt:variant>
        <vt:i4>0</vt:i4>
      </vt:variant>
      <vt:variant>
        <vt:i4>5</vt:i4>
      </vt:variant>
      <vt:variant>
        <vt:lpwstr/>
      </vt:variant>
      <vt:variant>
        <vt:lpwstr>_Toc119422654</vt:lpwstr>
      </vt:variant>
      <vt:variant>
        <vt:i4>1376316</vt:i4>
      </vt:variant>
      <vt:variant>
        <vt:i4>260</vt:i4>
      </vt:variant>
      <vt:variant>
        <vt:i4>0</vt:i4>
      </vt:variant>
      <vt:variant>
        <vt:i4>5</vt:i4>
      </vt:variant>
      <vt:variant>
        <vt:lpwstr/>
      </vt:variant>
      <vt:variant>
        <vt:lpwstr>_Toc119422653</vt:lpwstr>
      </vt:variant>
      <vt:variant>
        <vt:i4>1376316</vt:i4>
      </vt:variant>
      <vt:variant>
        <vt:i4>254</vt:i4>
      </vt:variant>
      <vt:variant>
        <vt:i4>0</vt:i4>
      </vt:variant>
      <vt:variant>
        <vt:i4>5</vt:i4>
      </vt:variant>
      <vt:variant>
        <vt:lpwstr/>
      </vt:variant>
      <vt:variant>
        <vt:lpwstr>_Toc119422652</vt:lpwstr>
      </vt:variant>
      <vt:variant>
        <vt:i4>1310780</vt:i4>
      </vt:variant>
      <vt:variant>
        <vt:i4>248</vt:i4>
      </vt:variant>
      <vt:variant>
        <vt:i4>0</vt:i4>
      </vt:variant>
      <vt:variant>
        <vt:i4>5</vt:i4>
      </vt:variant>
      <vt:variant>
        <vt:lpwstr/>
      </vt:variant>
      <vt:variant>
        <vt:lpwstr>_Toc119422644</vt:lpwstr>
      </vt:variant>
      <vt:variant>
        <vt:i4>1310780</vt:i4>
      </vt:variant>
      <vt:variant>
        <vt:i4>242</vt:i4>
      </vt:variant>
      <vt:variant>
        <vt:i4>0</vt:i4>
      </vt:variant>
      <vt:variant>
        <vt:i4>5</vt:i4>
      </vt:variant>
      <vt:variant>
        <vt:lpwstr/>
      </vt:variant>
      <vt:variant>
        <vt:lpwstr>_Toc119422643</vt:lpwstr>
      </vt:variant>
      <vt:variant>
        <vt:i4>1310780</vt:i4>
      </vt:variant>
      <vt:variant>
        <vt:i4>236</vt:i4>
      </vt:variant>
      <vt:variant>
        <vt:i4>0</vt:i4>
      </vt:variant>
      <vt:variant>
        <vt:i4>5</vt:i4>
      </vt:variant>
      <vt:variant>
        <vt:lpwstr/>
      </vt:variant>
      <vt:variant>
        <vt:lpwstr>_Toc119422642</vt:lpwstr>
      </vt:variant>
      <vt:variant>
        <vt:i4>1310780</vt:i4>
      </vt:variant>
      <vt:variant>
        <vt:i4>230</vt:i4>
      </vt:variant>
      <vt:variant>
        <vt:i4>0</vt:i4>
      </vt:variant>
      <vt:variant>
        <vt:i4>5</vt:i4>
      </vt:variant>
      <vt:variant>
        <vt:lpwstr/>
      </vt:variant>
      <vt:variant>
        <vt:lpwstr>_Toc119422641</vt:lpwstr>
      </vt:variant>
      <vt:variant>
        <vt:i4>1310780</vt:i4>
      </vt:variant>
      <vt:variant>
        <vt:i4>224</vt:i4>
      </vt:variant>
      <vt:variant>
        <vt:i4>0</vt:i4>
      </vt:variant>
      <vt:variant>
        <vt:i4>5</vt:i4>
      </vt:variant>
      <vt:variant>
        <vt:lpwstr/>
      </vt:variant>
      <vt:variant>
        <vt:lpwstr>_Toc119422640</vt:lpwstr>
      </vt:variant>
      <vt:variant>
        <vt:i4>1245244</vt:i4>
      </vt:variant>
      <vt:variant>
        <vt:i4>218</vt:i4>
      </vt:variant>
      <vt:variant>
        <vt:i4>0</vt:i4>
      </vt:variant>
      <vt:variant>
        <vt:i4>5</vt:i4>
      </vt:variant>
      <vt:variant>
        <vt:lpwstr/>
      </vt:variant>
      <vt:variant>
        <vt:lpwstr>_Toc119422639</vt:lpwstr>
      </vt:variant>
      <vt:variant>
        <vt:i4>1245244</vt:i4>
      </vt:variant>
      <vt:variant>
        <vt:i4>212</vt:i4>
      </vt:variant>
      <vt:variant>
        <vt:i4>0</vt:i4>
      </vt:variant>
      <vt:variant>
        <vt:i4>5</vt:i4>
      </vt:variant>
      <vt:variant>
        <vt:lpwstr/>
      </vt:variant>
      <vt:variant>
        <vt:lpwstr>_Toc119422638</vt:lpwstr>
      </vt:variant>
      <vt:variant>
        <vt:i4>1245244</vt:i4>
      </vt:variant>
      <vt:variant>
        <vt:i4>206</vt:i4>
      </vt:variant>
      <vt:variant>
        <vt:i4>0</vt:i4>
      </vt:variant>
      <vt:variant>
        <vt:i4>5</vt:i4>
      </vt:variant>
      <vt:variant>
        <vt:lpwstr/>
      </vt:variant>
      <vt:variant>
        <vt:lpwstr>_Toc119422637</vt:lpwstr>
      </vt:variant>
      <vt:variant>
        <vt:i4>1245244</vt:i4>
      </vt:variant>
      <vt:variant>
        <vt:i4>200</vt:i4>
      </vt:variant>
      <vt:variant>
        <vt:i4>0</vt:i4>
      </vt:variant>
      <vt:variant>
        <vt:i4>5</vt:i4>
      </vt:variant>
      <vt:variant>
        <vt:lpwstr/>
      </vt:variant>
      <vt:variant>
        <vt:lpwstr>_Toc119422636</vt:lpwstr>
      </vt:variant>
      <vt:variant>
        <vt:i4>1245244</vt:i4>
      </vt:variant>
      <vt:variant>
        <vt:i4>194</vt:i4>
      </vt:variant>
      <vt:variant>
        <vt:i4>0</vt:i4>
      </vt:variant>
      <vt:variant>
        <vt:i4>5</vt:i4>
      </vt:variant>
      <vt:variant>
        <vt:lpwstr/>
      </vt:variant>
      <vt:variant>
        <vt:lpwstr>_Toc119422635</vt:lpwstr>
      </vt:variant>
      <vt:variant>
        <vt:i4>1245244</vt:i4>
      </vt:variant>
      <vt:variant>
        <vt:i4>188</vt:i4>
      </vt:variant>
      <vt:variant>
        <vt:i4>0</vt:i4>
      </vt:variant>
      <vt:variant>
        <vt:i4>5</vt:i4>
      </vt:variant>
      <vt:variant>
        <vt:lpwstr/>
      </vt:variant>
      <vt:variant>
        <vt:lpwstr>_Toc119422634</vt:lpwstr>
      </vt:variant>
      <vt:variant>
        <vt:i4>1245244</vt:i4>
      </vt:variant>
      <vt:variant>
        <vt:i4>182</vt:i4>
      </vt:variant>
      <vt:variant>
        <vt:i4>0</vt:i4>
      </vt:variant>
      <vt:variant>
        <vt:i4>5</vt:i4>
      </vt:variant>
      <vt:variant>
        <vt:lpwstr/>
      </vt:variant>
      <vt:variant>
        <vt:lpwstr>_Toc119422633</vt:lpwstr>
      </vt:variant>
      <vt:variant>
        <vt:i4>1245244</vt:i4>
      </vt:variant>
      <vt:variant>
        <vt:i4>176</vt:i4>
      </vt:variant>
      <vt:variant>
        <vt:i4>0</vt:i4>
      </vt:variant>
      <vt:variant>
        <vt:i4>5</vt:i4>
      </vt:variant>
      <vt:variant>
        <vt:lpwstr/>
      </vt:variant>
      <vt:variant>
        <vt:lpwstr>_Toc119422632</vt:lpwstr>
      </vt:variant>
      <vt:variant>
        <vt:i4>1245244</vt:i4>
      </vt:variant>
      <vt:variant>
        <vt:i4>170</vt:i4>
      </vt:variant>
      <vt:variant>
        <vt:i4>0</vt:i4>
      </vt:variant>
      <vt:variant>
        <vt:i4>5</vt:i4>
      </vt:variant>
      <vt:variant>
        <vt:lpwstr/>
      </vt:variant>
      <vt:variant>
        <vt:lpwstr>_Toc119422631</vt:lpwstr>
      </vt:variant>
      <vt:variant>
        <vt:i4>1245244</vt:i4>
      </vt:variant>
      <vt:variant>
        <vt:i4>164</vt:i4>
      </vt:variant>
      <vt:variant>
        <vt:i4>0</vt:i4>
      </vt:variant>
      <vt:variant>
        <vt:i4>5</vt:i4>
      </vt:variant>
      <vt:variant>
        <vt:lpwstr/>
      </vt:variant>
      <vt:variant>
        <vt:lpwstr>_Toc119422630</vt:lpwstr>
      </vt:variant>
      <vt:variant>
        <vt:i4>1179708</vt:i4>
      </vt:variant>
      <vt:variant>
        <vt:i4>158</vt:i4>
      </vt:variant>
      <vt:variant>
        <vt:i4>0</vt:i4>
      </vt:variant>
      <vt:variant>
        <vt:i4>5</vt:i4>
      </vt:variant>
      <vt:variant>
        <vt:lpwstr/>
      </vt:variant>
      <vt:variant>
        <vt:lpwstr>_Toc119422629</vt:lpwstr>
      </vt:variant>
      <vt:variant>
        <vt:i4>1179708</vt:i4>
      </vt:variant>
      <vt:variant>
        <vt:i4>152</vt:i4>
      </vt:variant>
      <vt:variant>
        <vt:i4>0</vt:i4>
      </vt:variant>
      <vt:variant>
        <vt:i4>5</vt:i4>
      </vt:variant>
      <vt:variant>
        <vt:lpwstr/>
      </vt:variant>
      <vt:variant>
        <vt:lpwstr>_Toc119422628</vt:lpwstr>
      </vt:variant>
      <vt:variant>
        <vt:i4>1179708</vt:i4>
      </vt:variant>
      <vt:variant>
        <vt:i4>146</vt:i4>
      </vt:variant>
      <vt:variant>
        <vt:i4>0</vt:i4>
      </vt:variant>
      <vt:variant>
        <vt:i4>5</vt:i4>
      </vt:variant>
      <vt:variant>
        <vt:lpwstr/>
      </vt:variant>
      <vt:variant>
        <vt:lpwstr>_Toc119422627</vt:lpwstr>
      </vt:variant>
      <vt:variant>
        <vt:i4>1179708</vt:i4>
      </vt:variant>
      <vt:variant>
        <vt:i4>140</vt:i4>
      </vt:variant>
      <vt:variant>
        <vt:i4>0</vt:i4>
      </vt:variant>
      <vt:variant>
        <vt:i4>5</vt:i4>
      </vt:variant>
      <vt:variant>
        <vt:lpwstr/>
      </vt:variant>
      <vt:variant>
        <vt:lpwstr>_Toc119422626</vt:lpwstr>
      </vt:variant>
      <vt:variant>
        <vt:i4>1179708</vt:i4>
      </vt:variant>
      <vt:variant>
        <vt:i4>134</vt:i4>
      </vt:variant>
      <vt:variant>
        <vt:i4>0</vt:i4>
      </vt:variant>
      <vt:variant>
        <vt:i4>5</vt:i4>
      </vt:variant>
      <vt:variant>
        <vt:lpwstr/>
      </vt:variant>
      <vt:variant>
        <vt:lpwstr>_Toc119422625</vt:lpwstr>
      </vt:variant>
      <vt:variant>
        <vt:i4>1179708</vt:i4>
      </vt:variant>
      <vt:variant>
        <vt:i4>128</vt:i4>
      </vt:variant>
      <vt:variant>
        <vt:i4>0</vt:i4>
      </vt:variant>
      <vt:variant>
        <vt:i4>5</vt:i4>
      </vt:variant>
      <vt:variant>
        <vt:lpwstr/>
      </vt:variant>
      <vt:variant>
        <vt:lpwstr>_Toc119422624</vt:lpwstr>
      </vt:variant>
      <vt:variant>
        <vt:i4>1179708</vt:i4>
      </vt:variant>
      <vt:variant>
        <vt:i4>122</vt:i4>
      </vt:variant>
      <vt:variant>
        <vt:i4>0</vt:i4>
      </vt:variant>
      <vt:variant>
        <vt:i4>5</vt:i4>
      </vt:variant>
      <vt:variant>
        <vt:lpwstr/>
      </vt:variant>
      <vt:variant>
        <vt:lpwstr>_Toc119422623</vt:lpwstr>
      </vt:variant>
      <vt:variant>
        <vt:i4>1179708</vt:i4>
      </vt:variant>
      <vt:variant>
        <vt:i4>116</vt:i4>
      </vt:variant>
      <vt:variant>
        <vt:i4>0</vt:i4>
      </vt:variant>
      <vt:variant>
        <vt:i4>5</vt:i4>
      </vt:variant>
      <vt:variant>
        <vt:lpwstr/>
      </vt:variant>
      <vt:variant>
        <vt:lpwstr>_Toc119422622</vt:lpwstr>
      </vt:variant>
      <vt:variant>
        <vt:i4>1179708</vt:i4>
      </vt:variant>
      <vt:variant>
        <vt:i4>110</vt:i4>
      </vt:variant>
      <vt:variant>
        <vt:i4>0</vt:i4>
      </vt:variant>
      <vt:variant>
        <vt:i4>5</vt:i4>
      </vt:variant>
      <vt:variant>
        <vt:lpwstr/>
      </vt:variant>
      <vt:variant>
        <vt:lpwstr>_Toc119422621</vt:lpwstr>
      </vt:variant>
      <vt:variant>
        <vt:i4>1179708</vt:i4>
      </vt:variant>
      <vt:variant>
        <vt:i4>104</vt:i4>
      </vt:variant>
      <vt:variant>
        <vt:i4>0</vt:i4>
      </vt:variant>
      <vt:variant>
        <vt:i4>5</vt:i4>
      </vt:variant>
      <vt:variant>
        <vt:lpwstr/>
      </vt:variant>
      <vt:variant>
        <vt:lpwstr>_Toc119422620</vt:lpwstr>
      </vt:variant>
      <vt:variant>
        <vt:i4>1114172</vt:i4>
      </vt:variant>
      <vt:variant>
        <vt:i4>98</vt:i4>
      </vt:variant>
      <vt:variant>
        <vt:i4>0</vt:i4>
      </vt:variant>
      <vt:variant>
        <vt:i4>5</vt:i4>
      </vt:variant>
      <vt:variant>
        <vt:lpwstr/>
      </vt:variant>
      <vt:variant>
        <vt:lpwstr>_Toc119422619</vt:lpwstr>
      </vt:variant>
      <vt:variant>
        <vt:i4>1114172</vt:i4>
      </vt:variant>
      <vt:variant>
        <vt:i4>92</vt:i4>
      </vt:variant>
      <vt:variant>
        <vt:i4>0</vt:i4>
      </vt:variant>
      <vt:variant>
        <vt:i4>5</vt:i4>
      </vt:variant>
      <vt:variant>
        <vt:lpwstr/>
      </vt:variant>
      <vt:variant>
        <vt:lpwstr>_Toc119422618</vt:lpwstr>
      </vt:variant>
      <vt:variant>
        <vt:i4>1114172</vt:i4>
      </vt:variant>
      <vt:variant>
        <vt:i4>86</vt:i4>
      </vt:variant>
      <vt:variant>
        <vt:i4>0</vt:i4>
      </vt:variant>
      <vt:variant>
        <vt:i4>5</vt:i4>
      </vt:variant>
      <vt:variant>
        <vt:lpwstr/>
      </vt:variant>
      <vt:variant>
        <vt:lpwstr>_Toc119422617</vt:lpwstr>
      </vt:variant>
      <vt:variant>
        <vt:i4>1114172</vt:i4>
      </vt:variant>
      <vt:variant>
        <vt:i4>80</vt:i4>
      </vt:variant>
      <vt:variant>
        <vt:i4>0</vt:i4>
      </vt:variant>
      <vt:variant>
        <vt:i4>5</vt:i4>
      </vt:variant>
      <vt:variant>
        <vt:lpwstr/>
      </vt:variant>
      <vt:variant>
        <vt:lpwstr>_Toc119422616</vt:lpwstr>
      </vt:variant>
      <vt:variant>
        <vt:i4>1114172</vt:i4>
      </vt:variant>
      <vt:variant>
        <vt:i4>74</vt:i4>
      </vt:variant>
      <vt:variant>
        <vt:i4>0</vt:i4>
      </vt:variant>
      <vt:variant>
        <vt:i4>5</vt:i4>
      </vt:variant>
      <vt:variant>
        <vt:lpwstr/>
      </vt:variant>
      <vt:variant>
        <vt:lpwstr>_Toc119422615</vt:lpwstr>
      </vt:variant>
      <vt:variant>
        <vt:i4>1114172</vt:i4>
      </vt:variant>
      <vt:variant>
        <vt:i4>68</vt:i4>
      </vt:variant>
      <vt:variant>
        <vt:i4>0</vt:i4>
      </vt:variant>
      <vt:variant>
        <vt:i4>5</vt:i4>
      </vt:variant>
      <vt:variant>
        <vt:lpwstr/>
      </vt:variant>
      <vt:variant>
        <vt:lpwstr>_Toc119422614</vt:lpwstr>
      </vt:variant>
      <vt:variant>
        <vt:i4>1114172</vt:i4>
      </vt:variant>
      <vt:variant>
        <vt:i4>62</vt:i4>
      </vt:variant>
      <vt:variant>
        <vt:i4>0</vt:i4>
      </vt:variant>
      <vt:variant>
        <vt:i4>5</vt:i4>
      </vt:variant>
      <vt:variant>
        <vt:lpwstr/>
      </vt:variant>
      <vt:variant>
        <vt:lpwstr>_Toc119422613</vt:lpwstr>
      </vt:variant>
      <vt:variant>
        <vt:i4>1114172</vt:i4>
      </vt:variant>
      <vt:variant>
        <vt:i4>56</vt:i4>
      </vt:variant>
      <vt:variant>
        <vt:i4>0</vt:i4>
      </vt:variant>
      <vt:variant>
        <vt:i4>5</vt:i4>
      </vt:variant>
      <vt:variant>
        <vt:lpwstr/>
      </vt:variant>
      <vt:variant>
        <vt:lpwstr>_Toc119422612</vt:lpwstr>
      </vt:variant>
      <vt:variant>
        <vt:i4>1114172</vt:i4>
      </vt:variant>
      <vt:variant>
        <vt:i4>50</vt:i4>
      </vt:variant>
      <vt:variant>
        <vt:i4>0</vt:i4>
      </vt:variant>
      <vt:variant>
        <vt:i4>5</vt:i4>
      </vt:variant>
      <vt:variant>
        <vt:lpwstr/>
      </vt:variant>
      <vt:variant>
        <vt:lpwstr>_Toc119422611</vt:lpwstr>
      </vt:variant>
      <vt:variant>
        <vt:i4>1114172</vt:i4>
      </vt:variant>
      <vt:variant>
        <vt:i4>44</vt:i4>
      </vt:variant>
      <vt:variant>
        <vt:i4>0</vt:i4>
      </vt:variant>
      <vt:variant>
        <vt:i4>5</vt:i4>
      </vt:variant>
      <vt:variant>
        <vt:lpwstr/>
      </vt:variant>
      <vt:variant>
        <vt:lpwstr>_Toc119422610</vt:lpwstr>
      </vt:variant>
      <vt:variant>
        <vt:i4>1048636</vt:i4>
      </vt:variant>
      <vt:variant>
        <vt:i4>38</vt:i4>
      </vt:variant>
      <vt:variant>
        <vt:i4>0</vt:i4>
      </vt:variant>
      <vt:variant>
        <vt:i4>5</vt:i4>
      </vt:variant>
      <vt:variant>
        <vt:lpwstr/>
      </vt:variant>
      <vt:variant>
        <vt:lpwstr>_Toc119422609</vt:lpwstr>
      </vt:variant>
      <vt:variant>
        <vt:i4>1048636</vt:i4>
      </vt:variant>
      <vt:variant>
        <vt:i4>32</vt:i4>
      </vt:variant>
      <vt:variant>
        <vt:i4>0</vt:i4>
      </vt:variant>
      <vt:variant>
        <vt:i4>5</vt:i4>
      </vt:variant>
      <vt:variant>
        <vt:lpwstr/>
      </vt:variant>
      <vt:variant>
        <vt:lpwstr>_Toc119422608</vt:lpwstr>
      </vt:variant>
      <vt:variant>
        <vt:i4>1048636</vt:i4>
      </vt:variant>
      <vt:variant>
        <vt:i4>26</vt:i4>
      </vt:variant>
      <vt:variant>
        <vt:i4>0</vt:i4>
      </vt:variant>
      <vt:variant>
        <vt:i4>5</vt:i4>
      </vt:variant>
      <vt:variant>
        <vt:lpwstr/>
      </vt:variant>
      <vt:variant>
        <vt:lpwstr>_Toc119422607</vt:lpwstr>
      </vt:variant>
      <vt:variant>
        <vt:i4>1048636</vt:i4>
      </vt:variant>
      <vt:variant>
        <vt:i4>20</vt:i4>
      </vt:variant>
      <vt:variant>
        <vt:i4>0</vt:i4>
      </vt:variant>
      <vt:variant>
        <vt:i4>5</vt:i4>
      </vt:variant>
      <vt:variant>
        <vt:lpwstr/>
      </vt:variant>
      <vt:variant>
        <vt:lpwstr>_Toc119422606</vt:lpwstr>
      </vt:variant>
      <vt:variant>
        <vt:i4>1048636</vt:i4>
      </vt:variant>
      <vt:variant>
        <vt:i4>14</vt:i4>
      </vt:variant>
      <vt:variant>
        <vt:i4>0</vt:i4>
      </vt:variant>
      <vt:variant>
        <vt:i4>5</vt:i4>
      </vt:variant>
      <vt:variant>
        <vt:lpwstr/>
      </vt:variant>
      <vt:variant>
        <vt:lpwstr>_Toc119422605</vt:lpwstr>
      </vt:variant>
      <vt:variant>
        <vt:i4>1048636</vt:i4>
      </vt:variant>
      <vt:variant>
        <vt:i4>8</vt:i4>
      </vt:variant>
      <vt:variant>
        <vt:i4>0</vt:i4>
      </vt:variant>
      <vt:variant>
        <vt:i4>5</vt:i4>
      </vt:variant>
      <vt:variant>
        <vt:lpwstr/>
      </vt:variant>
      <vt:variant>
        <vt:lpwstr>_Toc119422604</vt:lpwstr>
      </vt:variant>
      <vt:variant>
        <vt:i4>1048636</vt:i4>
      </vt:variant>
      <vt:variant>
        <vt:i4>2</vt:i4>
      </vt:variant>
      <vt:variant>
        <vt:i4>0</vt:i4>
      </vt:variant>
      <vt:variant>
        <vt:i4>5</vt:i4>
      </vt:variant>
      <vt:variant>
        <vt:lpwstr/>
      </vt:variant>
      <vt:variant>
        <vt:lpwstr>_Toc119422603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Danyelle Dolan</cp:lastModifiedBy>
  <cp:revision>20</cp:revision>
  <cp:lastPrinted>2023-08-07T18:41:00Z</cp:lastPrinted>
  <dcterms:created xsi:type="dcterms:W3CDTF">2023-08-22T20:41:00Z</dcterms:created>
  <dcterms:modified xsi:type="dcterms:W3CDTF">2023-08-22T21:54:00Z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y fmtid="{D5CDD505-2E9C-101B-9397-08002B2CF9AE}" pid="7" name="GrammarlyDocumentId">
    <vt:lpwstr>070eb09224983ee727419d0711ed6c35f0505d81220fc858bfd6f887f078bc61</vt:lpwstr>
  </property>
</Properties>
</file>